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CB3D" w14:textId="77777777" w:rsidR="00AF240A" w:rsidRPr="002E0DA4" w:rsidRDefault="00AF240A" w:rsidP="00AF240A">
      <w:pPr>
        <w:spacing w:after="120"/>
        <w:rPr>
          <w:szCs w:val="24"/>
        </w:rPr>
      </w:pPr>
    </w:p>
    <w:p w14:paraId="4A8FD008" w14:textId="77777777" w:rsidR="00AF240A" w:rsidRPr="00B92284" w:rsidRDefault="00AF240A" w:rsidP="00AF240A">
      <w:pPr>
        <w:spacing w:after="120"/>
        <w:jc w:val="center"/>
        <w:rPr>
          <w:b/>
          <w:sz w:val="28"/>
          <w:szCs w:val="28"/>
        </w:rPr>
      </w:pPr>
      <w:r w:rsidRPr="00B92284">
        <w:rPr>
          <w:b/>
          <w:sz w:val="28"/>
          <w:szCs w:val="28"/>
        </w:rPr>
        <w:t>A N T R A G</w:t>
      </w:r>
    </w:p>
    <w:p w14:paraId="0A2C99D4" w14:textId="77777777" w:rsidR="00AF240A" w:rsidRPr="00801215" w:rsidRDefault="00AF240A" w:rsidP="00AF240A">
      <w:pPr>
        <w:spacing w:after="120"/>
        <w:rPr>
          <w:szCs w:val="24"/>
        </w:rPr>
      </w:pPr>
    </w:p>
    <w:p w14:paraId="6C16021A" w14:textId="77777777" w:rsidR="00232120" w:rsidRDefault="00232120" w:rsidP="00232120">
      <w:pPr>
        <w:pStyle w:val="Default"/>
        <w:spacing w:before="240" w:after="240"/>
        <w:jc w:val="center"/>
        <w:rPr>
          <w:b/>
          <w:bCs/>
          <w:szCs w:val="20"/>
        </w:rPr>
      </w:pPr>
      <w:r w:rsidRPr="004758CB">
        <w:rPr>
          <w:b/>
          <w:bCs/>
          <w:szCs w:val="20"/>
        </w:rPr>
        <w:t>der Abgeordneten</w:t>
      </w:r>
      <w:r w:rsidR="001331AF">
        <w:rPr>
          <w:b/>
          <w:bCs/>
          <w:szCs w:val="20"/>
        </w:rPr>
        <w:t xml:space="preserve"> </w:t>
      </w:r>
      <w:r w:rsidR="001331AF" w:rsidRPr="00B53D0C">
        <w:rPr>
          <w:b/>
        </w:rPr>
        <w:t xml:space="preserve">Heike Sudmann, Sabine </w:t>
      </w:r>
      <w:proofErr w:type="spellStart"/>
      <w:r w:rsidR="001331AF" w:rsidRPr="00B53D0C">
        <w:rPr>
          <w:b/>
        </w:rPr>
        <w:t>Boeddinghaus</w:t>
      </w:r>
      <w:proofErr w:type="spellEnd"/>
      <w:r w:rsidR="001331AF" w:rsidRPr="00B53D0C">
        <w:rPr>
          <w:b/>
        </w:rPr>
        <w:t xml:space="preserve">, Deniz Celik, Dr. Carola </w:t>
      </w:r>
      <w:proofErr w:type="spellStart"/>
      <w:r w:rsidR="001331AF" w:rsidRPr="00B53D0C">
        <w:rPr>
          <w:b/>
        </w:rPr>
        <w:t>En</w:t>
      </w:r>
      <w:r w:rsidR="00FD736E">
        <w:rPr>
          <w:b/>
        </w:rPr>
        <w:t>s</w:t>
      </w:r>
      <w:r w:rsidR="001331AF" w:rsidRPr="00B53D0C">
        <w:rPr>
          <w:b/>
        </w:rPr>
        <w:t>slen</w:t>
      </w:r>
      <w:proofErr w:type="spellEnd"/>
      <w:r w:rsidR="001331AF" w:rsidRPr="00B53D0C">
        <w:rPr>
          <w:b/>
        </w:rPr>
        <w:t xml:space="preserve">, </w:t>
      </w:r>
      <w:r w:rsidR="00FD736E" w:rsidRPr="00B53D0C">
        <w:rPr>
          <w:b/>
        </w:rPr>
        <w:t xml:space="preserve">Olga Fritsche, Norbert Hackbusch, Stephan </w:t>
      </w:r>
      <w:proofErr w:type="spellStart"/>
      <w:r w:rsidR="00FD736E" w:rsidRPr="00B53D0C">
        <w:rPr>
          <w:b/>
        </w:rPr>
        <w:t>Jersch</w:t>
      </w:r>
      <w:proofErr w:type="spellEnd"/>
      <w:r w:rsidR="00FD736E" w:rsidRPr="00B53D0C">
        <w:rPr>
          <w:b/>
        </w:rPr>
        <w:t xml:space="preserve">, </w:t>
      </w:r>
      <w:r w:rsidR="001331AF" w:rsidRPr="00B53D0C">
        <w:rPr>
          <w:b/>
        </w:rPr>
        <w:t xml:space="preserve">Metin Kaya, </w:t>
      </w:r>
      <w:proofErr w:type="spellStart"/>
      <w:r w:rsidR="001331AF" w:rsidRPr="00B53D0C">
        <w:rPr>
          <w:b/>
        </w:rPr>
        <w:t>Cansu</w:t>
      </w:r>
      <w:proofErr w:type="spellEnd"/>
      <w:r w:rsidR="001331AF" w:rsidRPr="00B53D0C">
        <w:rPr>
          <w:b/>
        </w:rPr>
        <w:t xml:space="preserve"> Özdemir, Dr. Stephanie Rose, David </w:t>
      </w:r>
      <w:proofErr w:type="spellStart"/>
      <w:r w:rsidR="001331AF" w:rsidRPr="00B53D0C">
        <w:rPr>
          <w:b/>
        </w:rPr>
        <w:t>Stoop</w:t>
      </w:r>
      <w:proofErr w:type="spellEnd"/>
      <w:r w:rsidR="001331AF" w:rsidRPr="00B53D0C">
        <w:rPr>
          <w:b/>
        </w:rPr>
        <w:t>, Insa Tietjen und Mehmet Yildiz</w:t>
      </w:r>
      <w:r w:rsidRPr="004758CB">
        <w:rPr>
          <w:b/>
          <w:bCs/>
          <w:szCs w:val="20"/>
        </w:rPr>
        <w:t xml:space="preserve"> (Fraktion DIE LINKE)</w:t>
      </w:r>
    </w:p>
    <w:p w14:paraId="084E4B94" w14:textId="48BCD520" w:rsidR="00AF240A" w:rsidRPr="00EF43BE" w:rsidRDefault="001331AF" w:rsidP="00692E1F">
      <w:pPr>
        <w:spacing w:after="468" w:line="250" w:lineRule="auto"/>
        <w:ind w:left="1229" w:right="238" w:hanging="10"/>
        <w:jc w:val="center"/>
        <w:rPr>
          <w:b/>
          <w:szCs w:val="24"/>
        </w:rPr>
      </w:pPr>
      <w:r w:rsidRPr="00B53D0C">
        <w:rPr>
          <w:b/>
        </w:rPr>
        <w:t xml:space="preserve"> </w:t>
      </w:r>
    </w:p>
    <w:p w14:paraId="3EB60FFB" w14:textId="51C382DE" w:rsidR="00AF240A" w:rsidRPr="005B7A03" w:rsidRDefault="00AF240A" w:rsidP="00692E1F">
      <w:pPr>
        <w:spacing w:after="120"/>
        <w:ind w:left="851" w:hanging="851"/>
        <w:rPr>
          <w:rFonts w:cs="Arial"/>
          <w:b/>
          <w:szCs w:val="24"/>
        </w:rPr>
      </w:pPr>
      <w:r>
        <w:rPr>
          <w:rFonts w:cs="Arial"/>
          <w:b/>
          <w:szCs w:val="24"/>
        </w:rPr>
        <w:t>Betr.:</w:t>
      </w:r>
      <w:r>
        <w:rPr>
          <w:rFonts w:cs="Arial"/>
          <w:b/>
          <w:szCs w:val="24"/>
        </w:rPr>
        <w:tab/>
      </w:r>
      <w:proofErr w:type="spellStart"/>
      <w:proofErr w:type="gramStart"/>
      <w:r w:rsidR="00692E1F">
        <w:rPr>
          <w:rFonts w:cs="Arial"/>
          <w:b/>
          <w:szCs w:val="24"/>
        </w:rPr>
        <w:t>Mieter:innen</w:t>
      </w:r>
      <w:proofErr w:type="spellEnd"/>
      <w:proofErr w:type="gramEnd"/>
      <w:r w:rsidR="00692E1F">
        <w:rPr>
          <w:rFonts w:cs="Arial"/>
          <w:b/>
          <w:szCs w:val="24"/>
        </w:rPr>
        <w:t xml:space="preserve"> schützen – Vorkaufsrecht in Gebieten </w:t>
      </w:r>
      <w:r w:rsidR="00DC51F5">
        <w:rPr>
          <w:rFonts w:cs="Arial"/>
          <w:b/>
          <w:szCs w:val="24"/>
        </w:rPr>
        <w:t>mit einer</w:t>
      </w:r>
      <w:r w:rsidR="00692E1F">
        <w:rPr>
          <w:rFonts w:cs="Arial"/>
          <w:b/>
          <w:szCs w:val="24"/>
        </w:rPr>
        <w:t xml:space="preserve"> „Sozialen Erhaltungsverordnung“ rechtlich sichern</w:t>
      </w:r>
      <w:r w:rsidR="0005736F">
        <w:rPr>
          <w:b/>
        </w:rPr>
        <w:t xml:space="preserve"> und Kaufpreis begrenzen</w:t>
      </w:r>
    </w:p>
    <w:p w14:paraId="2B24730C" w14:textId="21259025" w:rsidR="00191C30" w:rsidRDefault="00191C30" w:rsidP="00191C30">
      <w:pPr>
        <w:tabs>
          <w:tab w:val="center" w:pos="1396"/>
          <w:tab w:val="center" w:pos="4890"/>
        </w:tabs>
        <w:spacing w:after="227" w:line="259" w:lineRule="auto"/>
        <w:jc w:val="both"/>
      </w:pPr>
      <w:r>
        <w:rPr>
          <w:rFonts w:cs="Calibri"/>
        </w:rPr>
        <w:tab/>
      </w:r>
    </w:p>
    <w:p w14:paraId="1C20500A" w14:textId="5F0E3965" w:rsidR="006C2CD3" w:rsidRDefault="006C2CD3" w:rsidP="006C2CD3">
      <w:r w:rsidRPr="00B72DE1">
        <w:t xml:space="preserve">Das Bundesverwaltungsgericht hat das Vorkaufsrecht für </w:t>
      </w:r>
      <w:r>
        <w:t>Grundstücke in Gebieten der Sozialen Erhaltungsverordnung</w:t>
      </w:r>
      <w:r w:rsidRPr="00B72DE1">
        <w:t xml:space="preserve"> </w:t>
      </w:r>
      <w:r>
        <w:t>(Milieuschutzgebiete</w:t>
      </w:r>
      <w:r w:rsidR="00FF5AF8">
        <w:t>n</w:t>
      </w:r>
      <w:r>
        <w:t xml:space="preserve">) </w:t>
      </w:r>
      <w:r w:rsidRPr="00B72DE1">
        <w:t xml:space="preserve">eingeschränkt. Zwei Instanzen hatten zuvor anders geurteilt. </w:t>
      </w:r>
    </w:p>
    <w:p w14:paraId="3D1EC808" w14:textId="5C9F55BD" w:rsidR="006C2CD3" w:rsidRDefault="006C2CD3" w:rsidP="006C2CD3">
      <w:r>
        <w:t xml:space="preserve">Die Argumentation des Gerichts erscheint </w:t>
      </w:r>
      <w:proofErr w:type="spellStart"/>
      <w:r>
        <w:t>unplausibel</w:t>
      </w:r>
      <w:proofErr w:type="spellEnd"/>
      <w:r>
        <w:t xml:space="preserve"> und realitätsfern</w:t>
      </w:r>
      <w:r w:rsidRPr="00B72DE1">
        <w:t>: Zum Stichtag waren die Mieten im</w:t>
      </w:r>
      <w:r w:rsidR="009D1384">
        <w:t xml:space="preserve"> zum Verkauf stehenden</w:t>
      </w:r>
      <w:r w:rsidRPr="009D1384">
        <w:rPr>
          <w:color w:val="FF0000"/>
        </w:rPr>
        <w:t xml:space="preserve"> </w:t>
      </w:r>
      <w:r w:rsidRPr="00B72DE1">
        <w:t>Haus noch gebunden</w:t>
      </w:r>
      <w:r>
        <w:t xml:space="preserve">, </w:t>
      </w:r>
      <w:r w:rsidRPr="00B72DE1">
        <w:t xml:space="preserve">zukünftige Mietanstiege seien nicht sicher. Dass ein Mietshaus von einem Immobilienunternehmen gekauft wird, um Profite zu erzielen, indem Mieten gesteigert werden, ist bittere Realität. Die Erwartung, dass dies nach Auslaufen etwaiger Mietpreisbindungen geschehen wird, ist mit Sicherheit berechtigt. Deshalb wird das Vorkaufsrecht </w:t>
      </w:r>
      <w:r w:rsidR="00FF5AF8">
        <w:t xml:space="preserve">ja </w:t>
      </w:r>
      <w:r w:rsidRPr="00B72DE1">
        <w:t>gerade in sogenannten Milieuschutzgebieten angewandt, um die Verdrängung von Mieterinnen und Mieter</w:t>
      </w:r>
      <w:r w:rsidR="00FF5AF8">
        <w:t>n</w:t>
      </w:r>
      <w:r w:rsidRPr="00B72DE1">
        <w:t xml:space="preserve"> rechtzeitig zu verhindern.</w:t>
      </w:r>
    </w:p>
    <w:p w14:paraId="60ECA5E8" w14:textId="77777777" w:rsidR="006C2CD3" w:rsidRPr="00B72DE1" w:rsidRDefault="006C2CD3" w:rsidP="006C2CD3"/>
    <w:p w14:paraId="71A5AEAA" w14:textId="2365B7AE" w:rsidR="006C2CD3" w:rsidRDefault="006C2CD3" w:rsidP="006C2CD3">
      <w:r>
        <w:t>Das Bundesverwaltungsgericht orientiert sich an den bestehenden Regelungen im Baugesetzbuch</w:t>
      </w:r>
      <w:r w:rsidR="00EA4E84">
        <w:t xml:space="preserve"> und </w:t>
      </w:r>
      <w:r>
        <w:t xml:space="preserve">führt aus, es sei nicht ersichtlich, dass die </w:t>
      </w:r>
      <w:r w:rsidRPr="00B72DE1">
        <w:t xml:space="preserve">Formulierung im </w:t>
      </w:r>
      <w:r>
        <w:t xml:space="preserve">§ 26 (4) </w:t>
      </w:r>
      <w:r w:rsidRPr="00B72DE1">
        <w:t>Bau</w:t>
      </w:r>
      <w:r w:rsidR="00DC51F5">
        <w:t>gesetzbuch</w:t>
      </w:r>
      <w:r w:rsidRPr="00B72DE1">
        <w:t xml:space="preserve"> zum Ausschluss von Vorkäufen </w:t>
      </w:r>
      <w:r>
        <w:t xml:space="preserve">„lediglich </w:t>
      </w:r>
      <w:r w:rsidRPr="00B72DE1">
        <w:t>misslungen" se</w:t>
      </w:r>
      <w:r>
        <w:t xml:space="preserve">i. Deshalb </w:t>
      </w:r>
      <w:r w:rsidR="00FF5AF8">
        <w:t>sei</w:t>
      </w:r>
      <w:r>
        <w:t xml:space="preserve"> </w:t>
      </w:r>
      <w:r w:rsidRPr="00B72DE1">
        <w:t>das Vorkaufsrecht</w:t>
      </w:r>
      <w:r>
        <w:t xml:space="preserve"> </w:t>
      </w:r>
      <w:r w:rsidRPr="00B72DE1">
        <w:t xml:space="preserve">nach Auffassung des Bundesverwaltungsgerichts in Milieuschutzgebieten ausgeschlossen, wenn die Häuser dem städtebaulichen Zweck entsprechend genutzt und keine gravierenden Mängel </w:t>
      </w:r>
      <w:r>
        <w:t>aufw</w:t>
      </w:r>
      <w:r w:rsidR="00FF5AF8">
        <w:t>eisen würden</w:t>
      </w:r>
      <w:r w:rsidRPr="00B72DE1">
        <w:t xml:space="preserve">. Mit anderen Worten könnten demnach nur noch Schrottimmobilien, leerstehende oder zweckentfremdete Häuser sowie unbebaute Flächen </w:t>
      </w:r>
      <w:r w:rsidR="00EA4E84">
        <w:t xml:space="preserve">im Wege des Vorkaufsrechts </w:t>
      </w:r>
      <w:r w:rsidR="00EA4E84">
        <w:lastRenderedPageBreak/>
        <w:t xml:space="preserve">erworben werden. </w:t>
      </w:r>
      <w:r w:rsidRPr="00B72DE1">
        <w:t xml:space="preserve">Mieterinnen und Mieter </w:t>
      </w:r>
      <w:r w:rsidR="00EA4E84">
        <w:t>in anderen, zum Verkauf stehenden Wohnhäusern</w:t>
      </w:r>
      <w:r w:rsidRPr="00B72DE1">
        <w:t xml:space="preserve"> wären der Spekulation schutzlos ausgeliefert.</w:t>
      </w:r>
    </w:p>
    <w:p w14:paraId="7C2A937C" w14:textId="77777777" w:rsidR="006C2CD3" w:rsidRPr="00B72DE1" w:rsidRDefault="006C2CD3" w:rsidP="006C2CD3"/>
    <w:p w14:paraId="75C4B3D4" w14:textId="518C51E3" w:rsidR="00CE4E4F" w:rsidRDefault="006C2CD3" w:rsidP="00EA4E84">
      <w:r w:rsidRPr="00B72DE1">
        <w:t xml:space="preserve">Die Aushöhlung des Vorkaufsrechts in sozialen Erhaltungsgebieten ist ein herber Rückschlag für bedrohte Mieterinnen und Mieter. Aktiven </w:t>
      </w:r>
      <w:r>
        <w:t>Städten</w:t>
      </w:r>
      <w:r w:rsidRPr="00B72DE1">
        <w:t xml:space="preserve"> </w:t>
      </w:r>
      <w:r w:rsidR="00CE4E4F">
        <w:t xml:space="preserve">und Kommunen </w:t>
      </w:r>
      <w:r w:rsidRPr="00B72DE1">
        <w:t xml:space="preserve">wie </w:t>
      </w:r>
      <w:r>
        <w:t xml:space="preserve">Hamburg </w:t>
      </w:r>
      <w:r w:rsidR="00CE4E4F">
        <w:t>oder</w:t>
      </w:r>
      <w:r>
        <w:t xml:space="preserve"> </w:t>
      </w:r>
      <w:r w:rsidRPr="00B72DE1">
        <w:t>Berlin wird eines der wenigen Instrumente genommen, Mieterinnen und Mieter zu schützen. D</w:t>
      </w:r>
      <w:r w:rsidR="00EA4E84">
        <w:t>as</w:t>
      </w:r>
      <w:r w:rsidRPr="00B72DE1">
        <w:t xml:space="preserve"> Vorkauf</w:t>
      </w:r>
      <w:r w:rsidR="00EA4E84">
        <w:t xml:space="preserve">srecht war bisher </w:t>
      </w:r>
      <w:r w:rsidRPr="00B72DE1">
        <w:t xml:space="preserve">ein Rettungsanker für viele Mieterinnen und Mieter, </w:t>
      </w:r>
      <w:r w:rsidR="00EA4E84">
        <w:t>wenn mit</w:t>
      </w:r>
      <w:r w:rsidRPr="00B72DE1">
        <w:t xml:space="preserve"> </w:t>
      </w:r>
      <w:r w:rsidR="00FF5AF8">
        <w:t>Wohnh</w:t>
      </w:r>
      <w:r w:rsidRPr="00B72DE1">
        <w:t xml:space="preserve">äusern spekuliert </w:t>
      </w:r>
      <w:r w:rsidR="00EA4E84">
        <w:t xml:space="preserve">wird und </w:t>
      </w:r>
      <w:r w:rsidRPr="00B72DE1">
        <w:t xml:space="preserve">Mietsteigerungen oder Verdrängung </w:t>
      </w:r>
      <w:r w:rsidR="00EA4E84">
        <w:t xml:space="preserve">zu </w:t>
      </w:r>
      <w:r>
        <w:t>befürchten</w:t>
      </w:r>
      <w:r w:rsidR="00EA4E84">
        <w:t xml:space="preserve"> sind</w:t>
      </w:r>
      <w:r w:rsidRPr="00B72DE1">
        <w:t xml:space="preserve">, weil </w:t>
      </w:r>
      <w:proofErr w:type="spellStart"/>
      <w:proofErr w:type="gramStart"/>
      <w:r w:rsidRPr="00B72DE1">
        <w:t>Investor</w:t>
      </w:r>
      <w:r w:rsidR="002E5FC6">
        <w:t>:</w:t>
      </w:r>
      <w:r w:rsidRPr="00B72DE1">
        <w:t>innen</w:t>
      </w:r>
      <w:proofErr w:type="spellEnd"/>
      <w:proofErr w:type="gramEnd"/>
      <w:r w:rsidRPr="00B72DE1">
        <w:t xml:space="preserve"> </w:t>
      </w:r>
      <w:r w:rsidR="00FF5AF8">
        <w:t xml:space="preserve">hohe </w:t>
      </w:r>
      <w:r w:rsidRPr="00B72DE1">
        <w:t>Renditen erzielen wollen. Im Falle des Verkaufs eines Hauses ha</w:t>
      </w:r>
      <w:r w:rsidR="00EA4E84">
        <w:t>tt</w:t>
      </w:r>
      <w:r w:rsidRPr="00B72DE1">
        <w:t xml:space="preserve">en Kommunen </w:t>
      </w:r>
      <w:r w:rsidR="00EA4E84">
        <w:t xml:space="preserve">bislang </w:t>
      </w:r>
      <w:r w:rsidRPr="00B72DE1">
        <w:t xml:space="preserve">ein </w:t>
      </w:r>
      <w:r w:rsidR="00EA4E84">
        <w:t>Vorkaufsr</w:t>
      </w:r>
      <w:r w:rsidRPr="00B72DE1">
        <w:t>echt</w:t>
      </w:r>
      <w:r>
        <w:t>, wenn keine Einigung</w:t>
      </w:r>
      <w:r w:rsidRPr="00B72DE1">
        <w:t xml:space="preserve"> mit den </w:t>
      </w:r>
      <w:proofErr w:type="spellStart"/>
      <w:proofErr w:type="gramStart"/>
      <w:r w:rsidRPr="00B72DE1">
        <w:t>Käufer</w:t>
      </w:r>
      <w:r>
        <w:t>:</w:t>
      </w:r>
      <w:r w:rsidRPr="00B72DE1">
        <w:t>innen</w:t>
      </w:r>
      <w:proofErr w:type="spellEnd"/>
      <w:proofErr w:type="gramEnd"/>
      <w:r w:rsidRPr="00B72DE1">
        <w:t xml:space="preserve"> erziel</w:t>
      </w:r>
      <w:r>
        <w:t>t werden k</w:t>
      </w:r>
      <w:r w:rsidR="002E5FC6">
        <w:t>o</w:t>
      </w:r>
      <w:r>
        <w:t>nn</w:t>
      </w:r>
      <w:r w:rsidR="002E5FC6">
        <w:t>te</w:t>
      </w:r>
      <w:r w:rsidRPr="00B72DE1">
        <w:t>,</w:t>
      </w:r>
      <w:r w:rsidR="00CE4E4F">
        <w:t xml:space="preserve"> z.B. über </w:t>
      </w:r>
      <w:r w:rsidRPr="00B72DE1">
        <w:t xml:space="preserve">die </w:t>
      </w:r>
      <w:r w:rsidR="00CE4E4F">
        <w:t xml:space="preserve">Begrenzung von </w:t>
      </w:r>
      <w:r w:rsidRPr="00B72DE1">
        <w:t xml:space="preserve">Mieterhöhungen </w:t>
      </w:r>
      <w:r w:rsidR="00CE4E4F">
        <w:t>oder den Ausschluss von</w:t>
      </w:r>
      <w:r w:rsidRPr="00B72DE1">
        <w:t xml:space="preserve"> Umwandlungen</w:t>
      </w:r>
      <w:r w:rsidR="00CE4E4F">
        <w:t xml:space="preserve"> </w:t>
      </w:r>
      <w:r>
        <w:t xml:space="preserve">(Abwendungsvereinbarung). </w:t>
      </w:r>
    </w:p>
    <w:p w14:paraId="585AF96E" w14:textId="77777777" w:rsidR="00EA4E84" w:rsidRDefault="00EA4E84" w:rsidP="00CE4E4F"/>
    <w:p w14:paraId="6F2F471B" w14:textId="6B1B609A" w:rsidR="002E5FC6" w:rsidRDefault="002E5FC6" w:rsidP="002E5FC6">
      <w:pPr>
        <w:spacing w:after="240"/>
      </w:pPr>
      <w:r>
        <w:t>Für d</w:t>
      </w:r>
      <w:r w:rsidR="006C2CD3">
        <w:t xml:space="preserve">ie Fraktion </w:t>
      </w:r>
      <w:r w:rsidR="006C2CD3" w:rsidRPr="00B72DE1">
        <w:t xml:space="preserve">DIE LINKE </w:t>
      </w:r>
      <w:r>
        <w:t xml:space="preserve">ist ein </w:t>
      </w:r>
      <w:r w:rsidR="006C2CD3" w:rsidRPr="00B72DE1">
        <w:t>Vorkaufsrecht</w:t>
      </w:r>
      <w:r>
        <w:t xml:space="preserve"> wichtig, das die Kommunen nicht zwingt, überteuerte Preise zu zahlen. </w:t>
      </w:r>
      <w:r w:rsidR="006C2CD3" w:rsidRPr="00B72DE1">
        <w:t>Deswegen reicht eine Limitierung des Vorkaufspreises auf den Verkehrswert</w:t>
      </w:r>
      <w:r>
        <w:t xml:space="preserve"> nicht aus</w:t>
      </w:r>
      <w:r w:rsidR="006C2CD3" w:rsidRPr="00B72DE1">
        <w:t xml:space="preserve">. </w:t>
      </w:r>
      <w:r>
        <w:t xml:space="preserve">Vielmehr sollte sich der Preis </w:t>
      </w:r>
      <w:r w:rsidRPr="00B72DE1">
        <w:t>deutlich unterhalb des Marktwerts</w:t>
      </w:r>
      <w:r>
        <w:t xml:space="preserve"> bewegen, </w:t>
      </w:r>
      <w:r w:rsidRPr="00B72DE1">
        <w:t xml:space="preserve">zum Beispiel </w:t>
      </w:r>
      <w:r>
        <w:t xml:space="preserve">als </w:t>
      </w:r>
      <w:r w:rsidRPr="00B72DE1">
        <w:t>sogenannte</w:t>
      </w:r>
      <w:r>
        <w:t>r</w:t>
      </w:r>
      <w:r w:rsidRPr="00B72DE1">
        <w:t xml:space="preserve"> Residualwert, der sich an den bestehenden oder an leistbaren Mieten orientiert. Denn warum sollte</w:t>
      </w:r>
      <w:r>
        <w:t>n</w:t>
      </w:r>
      <w:r w:rsidRPr="00B72DE1">
        <w:t xml:space="preserve"> sich Staat und Kommunen an der Immobilienspekulation beteiligen? </w:t>
      </w:r>
      <w:r>
        <w:t>D</w:t>
      </w:r>
      <w:r w:rsidRPr="00B72DE1">
        <w:t xml:space="preserve">er richtige Weg wäre zweifelsohne, eine Kaufsumme zu zahlen, die sich mit </w:t>
      </w:r>
      <w:r>
        <w:t>sozialen, leist</w:t>
      </w:r>
      <w:r w:rsidRPr="00B72DE1">
        <w:t>baren Mieten auch erwirtschaften lässt.</w:t>
      </w:r>
    </w:p>
    <w:p w14:paraId="3D490484" w14:textId="76492577" w:rsidR="006C2CD3" w:rsidRPr="00B72DE1" w:rsidRDefault="006C2CD3" w:rsidP="00CE4E4F">
      <w:r w:rsidRPr="00B72DE1">
        <w:t xml:space="preserve">Dies und vieles </w:t>
      </w:r>
      <w:r w:rsidR="002E5FC6">
        <w:t>mehr</w:t>
      </w:r>
      <w:r w:rsidRPr="00B72DE1">
        <w:t xml:space="preserve"> wurde bei der </w:t>
      </w:r>
      <w:r w:rsidR="00DC51F5">
        <w:t>jüngsten</w:t>
      </w:r>
      <w:r w:rsidRPr="00B72DE1">
        <w:t xml:space="preserve"> Baurechtsnovelle versäumt.</w:t>
      </w:r>
    </w:p>
    <w:p w14:paraId="353F181E" w14:textId="1D8BAEA2" w:rsidR="006C2CD3" w:rsidRPr="00B72DE1" w:rsidRDefault="006C2CD3" w:rsidP="00442A65">
      <w:pPr>
        <w:spacing w:after="240"/>
      </w:pPr>
      <w:r w:rsidRPr="00B72DE1">
        <w:t xml:space="preserve">Hier ist nun die </w:t>
      </w:r>
      <w:r w:rsidR="0005736F">
        <w:t xml:space="preserve">zukünftige </w:t>
      </w:r>
      <w:r w:rsidRPr="00B72DE1">
        <w:t xml:space="preserve">Bundesregierung gefordert. </w:t>
      </w:r>
      <w:r w:rsidR="0005736F">
        <w:t>Sie muss</w:t>
      </w:r>
      <w:r w:rsidRPr="00B72DE1">
        <w:t xml:space="preserve"> diese Fehler ausbügeln</w:t>
      </w:r>
      <w:r w:rsidR="002E5FC6">
        <w:t xml:space="preserve">. Eine rechtssichere Ausübung des Vorkaufsrechts ist durch eine entsprechende Änderung des </w:t>
      </w:r>
      <w:r w:rsidR="0005736F">
        <w:t>Paragraph 26 im Bau</w:t>
      </w:r>
      <w:r w:rsidR="00DC51F5">
        <w:t>gesetzbuch</w:t>
      </w:r>
      <w:r w:rsidR="0005736F">
        <w:t xml:space="preserve"> </w:t>
      </w:r>
      <w:r w:rsidR="002E5FC6">
        <w:t>zu ermöglichen</w:t>
      </w:r>
      <w:r w:rsidR="0005736F">
        <w:t xml:space="preserve">. </w:t>
      </w:r>
      <w:r w:rsidRPr="00B72DE1">
        <w:t>Eine neue Bundesregierung muss sich daran messen lassen, ob sie den Mietenwahnsinn und die Verdrängung beenden wird.</w:t>
      </w:r>
      <w:r w:rsidR="00A57095">
        <w:t xml:space="preserve"> Der Hamburger Senat kann durch entsprechende Bundesratsinitiativen den Weg ebnen.</w:t>
      </w:r>
    </w:p>
    <w:p w14:paraId="2288C842" w14:textId="77777777" w:rsidR="00191C30" w:rsidRPr="00191C30" w:rsidRDefault="00191C30" w:rsidP="00191C30">
      <w:pPr>
        <w:rPr>
          <w:b/>
          <w:szCs w:val="24"/>
        </w:rPr>
      </w:pPr>
    </w:p>
    <w:p w14:paraId="5E4A8DCC" w14:textId="4977CA2F" w:rsidR="00191C30" w:rsidRDefault="00191C30" w:rsidP="00191C30">
      <w:pPr>
        <w:rPr>
          <w:b/>
          <w:szCs w:val="24"/>
        </w:rPr>
      </w:pPr>
      <w:r w:rsidRPr="00191C30">
        <w:rPr>
          <w:b/>
          <w:szCs w:val="24"/>
        </w:rPr>
        <w:t xml:space="preserve">Die Bürgerschaft möge vor diesem Hintergrund beschließen: </w:t>
      </w:r>
    </w:p>
    <w:p w14:paraId="13945BE5" w14:textId="77777777" w:rsidR="00CE4E4F" w:rsidRPr="00191C30" w:rsidRDefault="00CE4E4F" w:rsidP="00191C30">
      <w:pPr>
        <w:rPr>
          <w:b/>
          <w:szCs w:val="24"/>
        </w:rPr>
      </w:pPr>
    </w:p>
    <w:p w14:paraId="2863DF38" w14:textId="25F403C2" w:rsidR="00CE4E4F" w:rsidRDefault="00CE4E4F" w:rsidP="00E2523F">
      <w:pPr>
        <w:pStyle w:val="Listenabsatz"/>
        <w:numPr>
          <w:ilvl w:val="0"/>
          <w:numId w:val="1"/>
        </w:numPr>
        <w:autoSpaceDE w:val="0"/>
        <w:autoSpaceDN w:val="0"/>
        <w:adjustRightInd w:val="0"/>
        <w:spacing w:after="0" w:line="360" w:lineRule="auto"/>
        <w:ind w:right="989"/>
        <w:jc w:val="both"/>
        <w:rPr>
          <w:rFonts w:ascii="Arial" w:eastAsia="Times New Roman" w:hAnsi="Arial"/>
          <w:sz w:val="24"/>
          <w:szCs w:val="20"/>
          <w:lang w:eastAsia="de-DE"/>
        </w:rPr>
      </w:pPr>
      <w:r>
        <w:rPr>
          <w:rFonts w:ascii="Arial" w:eastAsia="Times New Roman" w:hAnsi="Arial"/>
          <w:sz w:val="24"/>
          <w:szCs w:val="20"/>
          <w:lang w:eastAsia="de-DE"/>
        </w:rPr>
        <w:lastRenderedPageBreak/>
        <w:t xml:space="preserve">Der Senat wird aufgefordert, schnellstmöglich über eine Bundesratsinitiative die entsprechenden Regelungen im Baugesetzbuch so zu verändern, dass eine rechtssichere Ausübung des Vorkaufsrechts in Gebieten </w:t>
      </w:r>
      <w:r w:rsidR="00DC51F5">
        <w:rPr>
          <w:rFonts w:ascii="Arial" w:eastAsia="Times New Roman" w:hAnsi="Arial"/>
          <w:sz w:val="24"/>
          <w:szCs w:val="20"/>
          <w:lang w:eastAsia="de-DE"/>
        </w:rPr>
        <w:t>mit einer</w:t>
      </w:r>
      <w:r>
        <w:rPr>
          <w:rFonts w:ascii="Arial" w:eastAsia="Times New Roman" w:hAnsi="Arial"/>
          <w:sz w:val="24"/>
          <w:szCs w:val="20"/>
          <w:lang w:eastAsia="de-DE"/>
        </w:rPr>
        <w:t xml:space="preserve"> Sozialen Erhaltungsverordnung (Milieuschutzgebieten) möglich wird, wenn von „erhaltungswidrigen Nutzungen“ auszugehen ist.</w:t>
      </w:r>
    </w:p>
    <w:p w14:paraId="3F215712" w14:textId="0F2E44A3" w:rsidR="00CE4E4F" w:rsidRDefault="00CE4E4F" w:rsidP="00E2523F">
      <w:pPr>
        <w:pStyle w:val="Listenabsatz"/>
        <w:numPr>
          <w:ilvl w:val="0"/>
          <w:numId w:val="1"/>
        </w:numPr>
        <w:autoSpaceDE w:val="0"/>
        <w:autoSpaceDN w:val="0"/>
        <w:adjustRightInd w:val="0"/>
        <w:spacing w:after="0" w:line="360" w:lineRule="auto"/>
        <w:ind w:right="989"/>
        <w:jc w:val="both"/>
        <w:rPr>
          <w:rFonts w:ascii="Arial" w:eastAsia="Times New Roman" w:hAnsi="Arial"/>
          <w:sz w:val="24"/>
          <w:szCs w:val="20"/>
          <w:lang w:eastAsia="de-DE"/>
        </w:rPr>
      </w:pPr>
      <w:r>
        <w:rPr>
          <w:rFonts w:ascii="Arial" w:eastAsia="Times New Roman" w:hAnsi="Arial"/>
          <w:sz w:val="24"/>
          <w:szCs w:val="20"/>
          <w:lang w:eastAsia="de-DE"/>
        </w:rPr>
        <w:t>Zusätzlich sind Regelungen im Baugesetzbuch zu schaffen, die die Ausübung des Vorkaufsrecht</w:t>
      </w:r>
      <w:r w:rsidR="00A57095">
        <w:rPr>
          <w:rFonts w:ascii="Arial" w:eastAsia="Times New Roman" w:hAnsi="Arial"/>
          <w:sz w:val="24"/>
          <w:szCs w:val="20"/>
          <w:lang w:eastAsia="de-DE"/>
        </w:rPr>
        <w:t>s</w:t>
      </w:r>
      <w:r>
        <w:rPr>
          <w:rFonts w:ascii="Arial" w:eastAsia="Times New Roman" w:hAnsi="Arial"/>
          <w:sz w:val="24"/>
          <w:szCs w:val="20"/>
          <w:lang w:eastAsia="de-DE"/>
        </w:rPr>
        <w:t xml:space="preserve"> zu einem Preis deutlich unterhalb des Marktpreises ermöglich</w:t>
      </w:r>
      <w:r w:rsidR="00DC51F5">
        <w:rPr>
          <w:rFonts w:ascii="Arial" w:eastAsia="Times New Roman" w:hAnsi="Arial"/>
          <w:sz w:val="24"/>
          <w:szCs w:val="20"/>
          <w:lang w:eastAsia="de-DE"/>
        </w:rPr>
        <w:t>en</w:t>
      </w:r>
      <w:r>
        <w:rPr>
          <w:rFonts w:ascii="Arial" w:eastAsia="Times New Roman" w:hAnsi="Arial"/>
          <w:sz w:val="24"/>
          <w:szCs w:val="20"/>
          <w:lang w:eastAsia="de-DE"/>
        </w:rPr>
        <w:t xml:space="preserve">, z.B. zum sogenannten Residualwert, der sich an leistbaren Mieten orientiert. </w:t>
      </w:r>
    </w:p>
    <w:p w14:paraId="369C5756" w14:textId="617735A3" w:rsidR="00191C30" w:rsidRPr="00E2523F" w:rsidRDefault="00191C30" w:rsidP="00191C30">
      <w:pPr>
        <w:pStyle w:val="Listenabsatz"/>
        <w:numPr>
          <w:ilvl w:val="0"/>
          <w:numId w:val="1"/>
        </w:numPr>
        <w:autoSpaceDE w:val="0"/>
        <w:autoSpaceDN w:val="0"/>
        <w:adjustRightInd w:val="0"/>
        <w:spacing w:after="0" w:line="360" w:lineRule="auto"/>
        <w:ind w:right="989"/>
        <w:jc w:val="both"/>
        <w:rPr>
          <w:rFonts w:ascii="Arial" w:eastAsia="Times New Roman" w:hAnsi="Arial"/>
          <w:sz w:val="24"/>
          <w:szCs w:val="20"/>
          <w:lang w:eastAsia="de-DE"/>
        </w:rPr>
      </w:pPr>
      <w:r w:rsidRPr="00E2523F">
        <w:rPr>
          <w:rFonts w:ascii="Arial" w:eastAsia="Times New Roman" w:hAnsi="Arial"/>
          <w:sz w:val="24"/>
          <w:szCs w:val="20"/>
          <w:lang w:eastAsia="de-DE"/>
        </w:rPr>
        <w:t>Der Senat wird gebeten, bis zum 31.</w:t>
      </w:r>
      <w:r w:rsidR="00CE4E4F">
        <w:rPr>
          <w:rFonts w:ascii="Arial" w:eastAsia="Times New Roman" w:hAnsi="Arial"/>
          <w:sz w:val="24"/>
          <w:szCs w:val="20"/>
          <w:lang w:eastAsia="de-DE"/>
        </w:rPr>
        <w:t>12</w:t>
      </w:r>
      <w:r w:rsidRPr="00E2523F">
        <w:rPr>
          <w:rFonts w:ascii="Arial" w:eastAsia="Times New Roman" w:hAnsi="Arial"/>
          <w:sz w:val="24"/>
          <w:szCs w:val="20"/>
          <w:lang w:eastAsia="de-DE"/>
        </w:rPr>
        <w:t xml:space="preserve">.2021 der Bürgerschaft </w:t>
      </w:r>
      <w:r w:rsidR="00CE4E4F">
        <w:rPr>
          <w:rFonts w:ascii="Arial" w:eastAsia="Times New Roman" w:hAnsi="Arial"/>
          <w:sz w:val="24"/>
          <w:szCs w:val="20"/>
          <w:lang w:eastAsia="de-DE"/>
        </w:rPr>
        <w:t xml:space="preserve">über </w:t>
      </w:r>
      <w:r w:rsidRPr="00E2523F">
        <w:rPr>
          <w:rFonts w:ascii="Arial" w:eastAsia="Times New Roman" w:hAnsi="Arial"/>
          <w:sz w:val="24"/>
          <w:szCs w:val="20"/>
          <w:lang w:eastAsia="de-DE"/>
        </w:rPr>
        <w:t xml:space="preserve">den Sachstand </w:t>
      </w:r>
      <w:r w:rsidR="00CE4E4F">
        <w:rPr>
          <w:rFonts w:ascii="Arial" w:eastAsia="Times New Roman" w:hAnsi="Arial"/>
          <w:sz w:val="24"/>
          <w:szCs w:val="20"/>
          <w:lang w:eastAsia="de-DE"/>
        </w:rPr>
        <w:t>seiner Bemühungen erstmalig zu berichten.</w:t>
      </w:r>
      <w:r w:rsidRPr="00E2523F">
        <w:rPr>
          <w:rFonts w:ascii="Arial" w:eastAsia="Times New Roman" w:hAnsi="Arial"/>
          <w:sz w:val="24"/>
          <w:szCs w:val="20"/>
          <w:lang w:eastAsia="de-DE"/>
        </w:rPr>
        <w:t xml:space="preserve"> </w:t>
      </w:r>
    </w:p>
    <w:p w14:paraId="3A75F3A0" w14:textId="77777777" w:rsidR="00191C30" w:rsidRDefault="00191C30" w:rsidP="00191C30">
      <w:pPr>
        <w:pStyle w:val="Listenabsatz"/>
        <w:autoSpaceDE w:val="0"/>
        <w:autoSpaceDN w:val="0"/>
        <w:adjustRightInd w:val="0"/>
        <w:spacing w:after="0" w:line="360" w:lineRule="auto"/>
        <w:ind w:left="1428" w:right="989"/>
        <w:jc w:val="both"/>
        <w:rPr>
          <w:rFonts w:asciiTheme="minorHAnsi" w:hAnsiTheme="minorHAnsi" w:cs="Arial"/>
          <w:color w:val="000000" w:themeColor="text1"/>
          <w:lang w:eastAsia="de-DE"/>
        </w:rPr>
      </w:pPr>
    </w:p>
    <w:p w14:paraId="085650D1" w14:textId="77777777" w:rsidR="00AF240A" w:rsidRDefault="00AF240A"/>
    <w:p w14:paraId="751A9FB4" w14:textId="77777777" w:rsidR="00AF240A" w:rsidRDefault="00AF240A" w:rsidP="00692E1F"/>
    <w:sectPr w:rsidR="00AF240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E4E0" w14:textId="77777777" w:rsidR="00A50CE6" w:rsidRDefault="00A50CE6" w:rsidP="00AF240A">
      <w:pPr>
        <w:spacing w:line="240" w:lineRule="auto"/>
      </w:pPr>
      <w:r>
        <w:separator/>
      </w:r>
    </w:p>
  </w:endnote>
  <w:endnote w:type="continuationSeparator" w:id="0">
    <w:p w14:paraId="1E72392D" w14:textId="77777777" w:rsidR="00A50CE6" w:rsidRDefault="00A50CE6" w:rsidP="00AF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8441" w14:textId="77777777" w:rsidR="00A50CE6" w:rsidRDefault="00A50CE6" w:rsidP="00AF240A">
      <w:pPr>
        <w:spacing w:line="240" w:lineRule="auto"/>
      </w:pPr>
      <w:r>
        <w:separator/>
      </w:r>
    </w:p>
  </w:footnote>
  <w:footnote w:type="continuationSeparator" w:id="0">
    <w:p w14:paraId="04891A94" w14:textId="77777777" w:rsidR="00A50CE6" w:rsidRDefault="00A50CE6" w:rsidP="00AF2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43D2" w14:textId="77777777" w:rsidR="00AF240A" w:rsidRDefault="00AF240A" w:rsidP="00AF240A">
    <w:pPr>
      <w:pStyle w:val="Kopfzeile"/>
      <w:rPr>
        <w:b/>
        <w:sz w:val="28"/>
      </w:rPr>
    </w:pPr>
    <w:r>
      <w:rPr>
        <w:b/>
        <w:sz w:val="28"/>
      </w:rPr>
      <w:t>BÜRGERSCHAFT</w:t>
    </w:r>
  </w:p>
  <w:p w14:paraId="21C7CD3F" w14:textId="77777777" w:rsidR="00AF240A" w:rsidRDefault="00AF240A" w:rsidP="00AF240A">
    <w:pPr>
      <w:pStyle w:val="Kopfzeile"/>
      <w:rPr>
        <w:b/>
      </w:rPr>
    </w:pPr>
    <w:r>
      <w:rPr>
        <w:b/>
        <w:sz w:val="28"/>
      </w:rPr>
      <w:t>DER FREIEN UND HANSESTADT HAMBURG</w:t>
    </w:r>
    <w:r>
      <w:rPr>
        <w:b/>
        <w:sz w:val="28"/>
      </w:rPr>
      <w:tab/>
    </w:r>
    <w:r w:rsidRPr="00AF240A">
      <w:rPr>
        <w:sz w:val="24"/>
        <w:szCs w:val="24"/>
      </w:rPr>
      <w:t xml:space="preserve">Drucksache </w:t>
    </w:r>
    <w:r w:rsidR="005C3C65">
      <w:rPr>
        <w:b/>
        <w:sz w:val="28"/>
      </w:rPr>
      <w:t>22</w:t>
    </w:r>
    <w:r>
      <w:rPr>
        <w:b/>
        <w:sz w:val="28"/>
      </w:rPr>
      <w:t>/</w:t>
    </w:r>
  </w:p>
  <w:p w14:paraId="0919B8B7" w14:textId="607F4ECB" w:rsidR="00AF240A" w:rsidRPr="00AF240A" w:rsidRDefault="00AF240A">
    <w:pPr>
      <w:pStyle w:val="Kopfzeile"/>
      <w:rPr>
        <w:b/>
      </w:rPr>
    </w:pPr>
    <w:r w:rsidRPr="00AF240A">
      <w:rPr>
        <w:b/>
        <w:sz w:val="24"/>
        <w:szCs w:val="24"/>
      </w:rPr>
      <w:t>2</w:t>
    </w:r>
    <w:r w:rsidR="007326A8">
      <w:rPr>
        <w:b/>
        <w:sz w:val="24"/>
        <w:szCs w:val="24"/>
      </w:rPr>
      <w:t>2</w:t>
    </w:r>
    <w:r w:rsidRPr="00AF240A">
      <w:rPr>
        <w:b/>
        <w:sz w:val="24"/>
        <w:szCs w:val="24"/>
      </w:rPr>
      <w:t>. Wahlperiode</w:t>
    </w:r>
    <w:r>
      <w:rPr>
        <w:b/>
      </w:rPr>
      <w:tab/>
    </w:r>
    <w:r>
      <w:rPr>
        <w:b/>
      </w:rPr>
      <w:tab/>
    </w:r>
    <w:r w:rsidR="00692E1F" w:rsidRPr="00692E1F">
      <w:rPr>
        <w:b/>
        <w:sz w:val="24"/>
        <w:szCs w:val="24"/>
      </w:rPr>
      <w:t>17</w:t>
    </w:r>
    <w:r w:rsidRPr="00692E1F">
      <w:rPr>
        <w:b/>
        <w:sz w:val="24"/>
        <w:szCs w:val="24"/>
      </w:rPr>
      <w:t>.</w:t>
    </w:r>
    <w:r w:rsidR="00692E1F" w:rsidRPr="00692E1F">
      <w:rPr>
        <w:b/>
        <w:sz w:val="24"/>
        <w:szCs w:val="24"/>
      </w:rPr>
      <w:t>11</w:t>
    </w:r>
    <w:r w:rsidRPr="00AF240A">
      <w:rPr>
        <w:b/>
        <w:sz w:val="24"/>
        <w:szCs w:val="24"/>
      </w:rPr>
      <w:t>.20</w:t>
    </w:r>
    <w:r w:rsidR="00232120">
      <w:rPr>
        <w:b/>
        <w:sz w:val="24"/>
        <w:szCs w:val="24"/>
      </w:rPr>
      <w:t>2</w:t>
    </w:r>
    <w:r w:rsidR="001B4597">
      <w:rPr>
        <w:b/>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B724D"/>
    <w:multiLevelType w:val="hybridMultilevel"/>
    <w:tmpl w:val="1AB269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20"/>
    <w:rsid w:val="00006B87"/>
    <w:rsid w:val="000117B6"/>
    <w:rsid w:val="00014398"/>
    <w:rsid w:val="000163D2"/>
    <w:rsid w:val="000301CA"/>
    <w:rsid w:val="000340E9"/>
    <w:rsid w:val="000355A1"/>
    <w:rsid w:val="00041CD4"/>
    <w:rsid w:val="00053D58"/>
    <w:rsid w:val="0005736F"/>
    <w:rsid w:val="00061438"/>
    <w:rsid w:val="00061DD9"/>
    <w:rsid w:val="00064749"/>
    <w:rsid w:val="00066504"/>
    <w:rsid w:val="00071D61"/>
    <w:rsid w:val="0007638F"/>
    <w:rsid w:val="000776C6"/>
    <w:rsid w:val="00080D1B"/>
    <w:rsid w:val="00094207"/>
    <w:rsid w:val="00094E86"/>
    <w:rsid w:val="000A0540"/>
    <w:rsid w:val="000A18D8"/>
    <w:rsid w:val="000A490E"/>
    <w:rsid w:val="000A505C"/>
    <w:rsid w:val="000B3CF0"/>
    <w:rsid w:val="000B4C6F"/>
    <w:rsid w:val="000D1343"/>
    <w:rsid w:val="000D18BA"/>
    <w:rsid w:val="000D78CA"/>
    <w:rsid w:val="000E15EA"/>
    <w:rsid w:val="000E27CD"/>
    <w:rsid w:val="000F2093"/>
    <w:rsid w:val="000F442A"/>
    <w:rsid w:val="000F5C28"/>
    <w:rsid w:val="001018BA"/>
    <w:rsid w:val="00101E1A"/>
    <w:rsid w:val="0010503C"/>
    <w:rsid w:val="00105330"/>
    <w:rsid w:val="00105C91"/>
    <w:rsid w:val="0010601E"/>
    <w:rsid w:val="001061E1"/>
    <w:rsid w:val="00110FD6"/>
    <w:rsid w:val="001168C1"/>
    <w:rsid w:val="00120787"/>
    <w:rsid w:val="00123690"/>
    <w:rsid w:val="00124D06"/>
    <w:rsid w:val="0013043F"/>
    <w:rsid w:val="001331AF"/>
    <w:rsid w:val="001378E7"/>
    <w:rsid w:val="0014106B"/>
    <w:rsid w:val="001469A8"/>
    <w:rsid w:val="00150825"/>
    <w:rsid w:val="001510CC"/>
    <w:rsid w:val="00151EF2"/>
    <w:rsid w:val="00156B35"/>
    <w:rsid w:val="001602B0"/>
    <w:rsid w:val="00170D2E"/>
    <w:rsid w:val="00171CD0"/>
    <w:rsid w:val="001726A0"/>
    <w:rsid w:val="00175908"/>
    <w:rsid w:val="00175EF8"/>
    <w:rsid w:val="00176F5C"/>
    <w:rsid w:val="00182B60"/>
    <w:rsid w:val="00183738"/>
    <w:rsid w:val="00185045"/>
    <w:rsid w:val="00186E25"/>
    <w:rsid w:val="00187DCE"/>
    <w:rsid w:val="00191C30"/>
    <w:rsid w:val="00192B38"/>
    <w:rsid w:val="00197636"/>
    <w:rsid w:val="001B04B7"/>
    <w:rsid w:val="001B4597"/>
    <w:rsid w:val="001B4AFF"/>
    <w:rsid w:val="001C3E91"/>
    <w:rsid w:val="001C4F92"/>
    <w:rsid w:val="001D3565"/>
    <w:rsid w:val="001E28B4"/>
    <w:rsid w:val="001E3086"/>
    <w:rsid w:val="001F61B0"/>
    <w:rsid w:val="001F7675"/>
    <w:rsid w:val="00204A5A"/>
    <w:rsid w:val="002052C5"/>
    <w:rsid w:val="002061F4"/>
    <w:rsid w:val="00212839"/>
    <w:rsid w:val="00212AED"/>
    <w:rsid w:val="002157DE"/>
    <w:rsid w:val="00222607"/>
    <w:rsid w:val="002234D0"/>
    <w:rsid w:val="00231D5A"/>
    <w:rsid w:val="00231DDF"/>
    <w:rsid w:val="00232120"/>
    <w:rsid w:val="00234051"/>
    <w:rsid w:val="00235D1C"/>
    <w:rsid w:val="002369C7"/>
    <w:rsid w:val="00236E6E"/>
    <w:rsid w:val="0024410A"/>
    <w:rsid w:val="002452BB"/>
    <w:rsid w:val="00245ADB"/>
    <w:rsid w:val="00247D43"/>
    <w:rsid w:val="00250E19"/>
    <w:rsid w:val="00251952"/>
    <w:rsid w:val="00252C68"/>
    <w:rsid w:val="00252DE3"/>
    <w:rsid w:val="0026059E"/>
    <w:rsid w:val="0026367B"/>
    <w:rsid w:val="002656F2"/>
    <w:rsid w:val="00266814"/>
    <w:rsid w:val="00271BC6"/>
    <w:rsid w:val="002729C4"/>
    <w:rsid w:val="00272E27"/>
    <w:rsid w:val="002748F5"/>
    <w:rsid w:val="00281779"/>
    <w:rsid w:val="00281D08"/>
    <w:rsid w:val="0029511D"/>
    <w:rsid w:val="00295F3F"/>
    <w:rsid w:val="002A349A"/>
    <w:rsid w:val="002A358E"/>
    <w:rsid w:val="002A4E23"/>
    <w:rsid w:val="002A5BB0"/>
    <w:rsid w:val="002B0ACC"/>
    <w:rsid w:val="002B15CA"/>
    <w:rsid w:val="002B1F49"/>
    <w:rsid w:val="002B2068"/>
    <w:rsid w:val="002B6284"/>
    <w:rsid w:val="002C2B73"/>
    <w:rsid w:val="002C5AE1"/>
    <w:rsid w:val="002D1705"/>
    <w:rsid w:val="002E19BC"/>
    <w:rsid w:val="002E1D66"/>
    <w:rsid w:val="002E21D6"/>
    <w:rsid w:val="002E5FC6"/>
    <w:rsid w:val="002E69DA"/>
    <w:rsid w:val="00310099"/>
    <w:rsid w:val="00312397"/>
    <w:rsid w:val="00322063"/>
    <w:rsid w:val="003222C6"/>
    <w:rsid w:val="0032419C"/>
    <w:rsid w:val="00326338"/>
    <w:rsid w:val="003268D5"/>
    <w:rsid w:val="00327C7E"/>
    <w:rsid w:val="00330EFF"/>
    <w:rsid w:val="0033444A"/>
    <w:rsid w:val="00335612"/>
    <w:rsid w:val="0034216C"/>
    <w:rsid w:val="003428DE"/>
    <w:rsid w:val="003500C5"/>
    <w:rsid w:val="00357502"/>
    <w:rsid w:val="0035772D"/>
    <w:rsid w:val="00362632"/>
    <w:rsid w:val="00365D52"/>
    <w:rsid w:val="0037018F"/>
    <w:rsid w:val="00370E99"/>
    <w:rsid w:val="00371AD4"/>
    <w:rsid w:val="00371D11"/>
    <w:rsid w:val="00377D96"/>
    <w:rsid w:val="003904AA"/>
    <w:rsid w:val="00394778"/>
    <w:rsid w:val="003A1C59"/>
    <w:rsid w:val="003A2B2B"/>
    <w:rsid w:val="003A6E84"/>
    <w:rsid w:val="003B4D7B"/>
    <w:rsid w:val="003B5489"/>
    <w:rsid w:val="003C2899"/>
    <w:rsid w:val="003C3DF1"/>
    <w:rsid w:val="003D0A50"/>
    <w:rsid w:val="003D1BD2"/>
    <w:rsid w:val="003D1F21"/>
    <w:rsid w:val="003D4DC9"/>
    <w:rsid w:val="003E14B4"/>
    <w:rsid w:val="003E1FE9"/>
    <w:rsid w:val="003E586B"/>
    <w:rsid w:val="003E654F"/>
    <w:rsid w:val="003E6E46"/>
    <w:rsid w:val="003E7132"/>
    <w:rsid w:val="003F547D"/>
    <w:rsid w:val="003F6DD9"/>
    <w:rsid w:val="00407E43"/>
    <w:rsid w:val="004111D0"/>
    <w:rsid w:val="00414A3A"/>
    <w:rsid w:val="00423B3C"/>
    <w:rsid w:val="004316E8"/>
    <w:rsid w:val="00431F8F"/>
    <w:rsid w:val="00432890"/>
    <w:rsid w:val="004352FE"/>
    <w:rsid w:val="00442A65"/>
    <w:rsid w:val="00444124"/>
    <w:rsid w:val="004513B1"/>
    <w:rsid w:val="004559F7"/>
    <w:rsid w:val="00462728"/>
    <w:rsid w:val="0046795F"/>
    <w:rsid w:val="004705E7"/>
    <w:rsid w:val="00471A22"/>
    <w:rsid w:val="00471F18"/>
    <w:rsid w:val="00476CBC"/>
    <w:rsid w:val="00486A0C"/>
    <w:rsid w:val="004907A5"/>
    <w:rsid w:val="004972AB"/>
    <w:rsid w:val="004A0382"/>
    <w:rsid w:val="004A3BB0"/>
    <w:rsid w:val="004B1FAF"/>
    <w:rsid w:val="004B237C"/>
    <w:rsid w:val="004B5E68"/>
    <w:rsid w:val="004C2425"/>
    <w:rsid w:val="004C4F91"/>
    <w:rsid w:val="004D0BAF"/>
    <w:rsid w:val="004D7A00"/>
    <w:rsid w:val="004E2FFC"/>
    <w:rsid w:val="004E67B9"/>
    <w:rsid w:val="004F48EF"/>
    <w:rsid w:val="004F5559"/>
    <w:rsid w:val="00501342"/>
    <w:rsid w:val="00502FF0"/>
    <w:rsid w:val="0051028A"/>
    <w:rsid w:val="00516E96"/>
    <w:rsid w:val="00526DC2"/>
    <w:rsid w:val="00531DBF"/>
    <w:rsid w:val="005334E8"/>
    <w:rsid w:val="00534BD3"/>
    <w:rsid w:val="005422E3"/>
    <w:rsid w:val="0054387A"/>
    <w:rsid w:val="00544F13"/>
    <w:rsid w:val="0054720F"/>
    <w:rsid w:val="00550BC9"/>
    <w:rsid w:val="00553B1D"/>
    <w:rsid w:val="0056400A"/>
    <w:rsid w:val="00564210"/>
    <w:rsid w:val="00565CC3"/>
    <w:rsid w:val="00565FCD"/>
    <w:rsid w:val="005762A2"/>
    <w:rsid w:val="005855A2"/>
    <w:rsid w:val="005859E1"/>
    <w:rsid w:val="00595403"/>
    <w:rsid w:val="00595D42"/>
    <w:rsid w:val="00596250"/>
    <w:rsid w:val="005965EC"/>
    <w:rsid w:val="00597054"/>
    <w:rsid w:val="005A11AC"/>
    <w:rsid w:val="005A12E2"/>
    <w:rsid w:val="005A7895"/>
    <w:rsid w:val="005B2CEA"/>
    <w:rsid w:val="005C0EF8"/>
    <w:rsid w:val="005C3C65"/>
    <w:rsid w:val="005C55F2"/>
    <w:rsid w:val="005C5B27"/>
    <w:rsid w:val="005C5EA1"/>
    <w:rsid w:val="005C79F9"/>
    <w:rsid w:val="005D7094"/>
    <w:rsid w:val="005E071F"/>
    <w:rsid w:val="005E2C85"/>
    <w:rsid w:val="005E361E"/>
    <w:rsid w:val="005E44D8"/>
    <w:rsid w:val="005E5E20"/>
    <w:rsid w:val="005E655C"/>
    <w:rsid w:val="005E6DBB"/>
    <w:rsid w:val="005F2500"/>
    <w:rsid w:val="005F4144"/>
    <w:rsid w:val="005F4EF5"/>
    <w:rsid w:val="005F7635"/>
    <w:rsid w:val="006017C8"/>
    <w:rsid w:val="006032EB"/>
    <w:rsid w:val="00603ED2"/>
    <w:rsid w:val="00605BA8"/>
    <w:rsid w:val="00620696"/>
    <w:rsid w:val="00621A5A"/>
    <w:rsid w:val="006320AE"/>
    <w:rsid w:val="00633F9B"/>
    <w:rsid w:val="006369BA"/>
    <w:rsid w:val="00637EA6"/>
    <w:rsid w:val="00643B62"/>
    <w:rsid w:val="0064663F"/>
    <w:rsid w:val="006473C6"/>
    <w:rsid w:val="00647EEE"/>
    <w:rsid w:val="00653510"/>
    <w:rsid w:val="0066534F"/>
    <w:rsid w:val="00665C8F"/>
    <w:rsid w:val="00665D30"/>
    <w:rsid w:val="00667B40"/>
    <w:rsid w:val="00670521"/>
    <w:rsid w:val="00675F9A"/>
    <w:rsid w:val="00681128"/>
    <w:rsid w:val="006814BA"/>
    <w:rsid w:val="0068590D"/>
    <w:rsid w:val="006903AA"/>
    <w:rsid w:val="0069050D"/>
    <w:rsid w:val="00692E1F"/>
    <w:rsid w:val="00692F30"/>
    <w:rsid w:val="006A05B9"/>
    <w:rsid w:val="006A0D43"/>
    <w:rsid w:val="006B009F"/>
    <w:rsid w:val="006B0C18"/>
    <w:rsid w:val="006B4584"/>
    <w:rsid w:val="006B4CA6"/>
    <w:rsid w:val="006B533C"/>
    <w:rsid w:val="006C2CD3"/>
    <w:rsid w:val="006C31AA"/>
    <w:rsid w:val="006C33DC"/>
    <w:rsid w:val="006C40EA"/>
    <w:rsid w:val="006D59CB"/>
    <w:rsid w:val="006E7460"/>
    <w:rsid w:val="006E77EB"/>
    <w:rsid w:val="006F04F7"/>
    <w:rsid w:val="006F359C"/>
    <w:rsid w:val="006F64CD"/>
    <w:rsid w:val="0070015E"/>
    <w:rsid w:val="00704CD2"/>
    <w:rsid w:val="00706D15"/>
    <w:rsid w:val="00710207"/>
    <w:rsid w:val="0071052C"/>
    <w:rsid w:val="00711475"/>
    <w:rsid w:val="00713E4C"/>
    <w:rsid w:val="00715BDE"/>
    <w:rsid w:val="00720919"/>
    <w:rsid w:val="00720B1B"/>
    <w:rsid w:val="00722AF0"/>
    <w:rsid w:val="00722FCC"/>
    <w:rsid w:val="0072604D"/>
    <w:rsid w:val="007272DF"/>
    <w:rsid w:val="00730698"/>
    <w:rsid w:val="00730A8D"/>
    <w:rsid w:val="007326A8"/>
    <w:rsid w:val="00733906"/>
    <w:rsid w:val="00734681"/>
    <w:rsid w:val="007414A6"/>
    <w:rsid w:val="00741A6B"/>
    <w:rsid w:val="0074320B"/>
    <w:rsid w:val="00750F34"/>
    <w:rsid w:val="0075318A"/>
    <w:rsid w:val="0075627D"/>
    <w:rsid w:val="00756548"/>
    <w:rsid w:val="00756B70"/>
    <w:rsid w:val="007736FC"/>
    <w:rsid w:val="007849A3"/>
    <w:rsid w:val="007868E3"/>
    <w:rsid w:val="00787E22"/>
    <w:rsid w:val="0079167D"/>
    <w:rsid w:val="007A0B59"/>
    <w:rsid w:val="007A13AD"/>
    <w:rsid w:val="007A5532"/>
    <w:rsid w:val="007A7CBC"/>
    <w:rsid w:val="007B40C7"/>
    <w:rsid w:val="007C1893"/>
    <w:rsid w:val="007C1BF3"/>
    <w:rsid w:val="007C6014"/>
    <w:rsid w:val="007C738A"/>
    <w:rsid w:val="007D4C55"/>
    <w:rsid w:val="007D5230"/>
    <w:rsid w:val="007D6951"/>
    <w:rsid w:val="007E262C"/>
    <w:rsid w:val="007F2BD2"/>
    <w:rsid w:val="00800EB1"/>
    <w:rsid w:val="00805D48"/>
    <w:rsid w:val="008060DE"/>
    <w:rsid w:val="00806804"/>
    <w:rsid w:val="0083299B"/>
    <w:rsid w:val="008405F3"/>
    <w:rsid w:val="00840EBA"/>
    <w:rsid w:val="008414BB"/>
    <w:rsid w:val="0084428E"/>
    <w:rsid w:val="00847735"/>
    <w:rsid w:val="00850AA1"/>
    <w:rsid w:val="00851829"/>
    <w:rsid w:val="00857E96"/>
    <w:rsid w:val="00860E67"/>
    <w:rsid w:val="00865265"/>
    <w:rsid w:val="008666F0"/>
    <w:rsid w:val="00892AB9"/>
    <w:rsid w:val="00896377"/>
    <w:rsid w:val="008A068B"/>
    <w:rsid w:val="008A18F1"/>
    <w:rsid w:val="008A59E3"/>
    <w:rsid w:val="008A6546"/>
    <w:rsid w:val="008A65AA"/>
    <w:rsid w:val="008B3305"/>
    <w:rsid w:val="008C488D"/>
    <w:rsid w:val="008C5FE3"/>
    <w:rsid w:val="008D097A"/>
    <w:rsid w:val="008D165F"/>
    <w:rsid w:val="008D18A1"/>
    <w:rsid w:val="008D34C6"/>
    <w:rsid w:val="008D361F"/>
    <w:rsid w:val="008E02A3"/>
    <w:rsid w:val="008E4552"/>
    <w:rsid w:val="008E5156"/>
    <w:rsid w:val="008F6CD7"/>
    <w:rsid w:val="009000F9"/>
    <w:rsid w:val="0090415B"/>
    <w:rsid w:val="00905B9A"/>
    <w:rsid w:val="0091061D"/>
    <w:rsid w:val="009255B7"/>
    <w:rsid w:val="009320E7"/>
    <w:rsid w:val="00941966"/>
    <w:rsid w:val="00947332"/>
    <w:rsid w:val="00950EA0"/>
    <w:rsid w:val="009523E5"/>
    <w:rsid w:val="00953AF0"/>
    <w:rsid w:val="00956893"/>
    <w:rsid w:val="00961816"/>
    <w:rsid w:val="0097470E"/>
    <w:rsid w:val="009849EB"/>
    <w:rsid w:val="00985787"/>
    <w:rsid w:val="0098600E"/>
    <w:rsid w:val="00990D8C"/>
    <w:rsid w:val="009953DE"/>
    <w:rsid w:val="00997130"/>
    <w:rsid w:val="009A3B86"/>
    <w:rsid w:val="009A3D1A"/>
    <w:rsid w:val="009B099D"/>
    <w:rsid w:val="009B1034"/>
    <w:rsid w:val="009B1390"/>
    <w:rsid w:val="009B54C6"/>
    <w:rsid w:val="009B5AEC"/>
    <w:rsid w:val="009C121D"/>
    <w:rsid w:val="009C1587"/>
    <w:rsid w:val="009C1AF6"/>
    <w:rsid w:val="009C4297"/>
    <w:rsid w:val="009C5D34"/>
    <w:rsid w:val="009D1384"/>
    <w:rsid w:val="009D235C"/>
    <w:rsid w:val="009D2F50"/>
    <w:rsid w:val="009D6AF1"/>
    <w:rsid w:val="009E155A"/>
    <w:rsid w:val="009E19F2"/>
    <w:rsid w:val="009E4525"/>
    <w:rsid w:val="009F047B"/>
    <w:rsid w:val="009F07D3"/>
    <w:rsid w:val="009F251F"/>
    <w:rsid w:val="00A03F7B"/>
    <w:rsid w:val="00A06EF9"/>
    <w:rsid w:val="00A10E8D"/>
    <w:rsid w:val="00A1251D"/>
    <w:rsid w:val="00A14899"/>
    <w:rsid w:val="00A17338"/>
    <w:rsid w:val="00A2104F"/>
    <w:rsid w:val="00A25ED3"/>
    <w:rsid w:val="00A27774"/>
    <w:rsid w:val="00A30678"/>
    <w:rsid w:val="00A32D53"/>
    <w:rsid w:val="00A3338F"/>
    <w:rsid w:val="00A35AB2"/>
    <w:rsid w:val="00A425A2"/>
    <w:rsid w:val="00A426C2"/>
    <w:rsid w:val="00A44753"/>
    <w:rsid w:val="00A508F8"/>
    <w:rsid w:val="00A50CE6"/>
    <w:rsid w:val="00A53B77"/>
    <w:rsid w:val="00A53BBE"/>
    <w:rsid w:val="00A56747"/>
    <w:rsid w:val="00A57095"/>
    <w:rsid w:val="00A60AF4"/>
    <w:rsid w:val="00A674C4"/>
    <w:rsid w:val="00A75B55"/>
    <w:rsid w:val="00A81F39"/>
    <w:rsid w:val="00A86100"/>
    <w:rsid w:val="00A8686B"/>
    <w:rsid w:val="00A90CA9"/>
    <w:rsid w:val="00A90F8F"/>
    <w:rsid w:val="00A95589"/>
    <w:rsid w:val="00A95E41"/>
    <w:rsid w:val="00A95EE5"/>
    <w:rsid w:val="00AA593A"/>
    <w:rsid w:val="00AB1149"/>
    <w:rsid w:val="00AB52E4"/>
    <w:rsid w:val="00AC387B"/>
    <w:rsid w:val="00AC3C71"/>
    <w:rsid w:val="00AC6790"/>
    <w:rsid w:val="00AD076F"/>
    <w:rsid w:val="00AD5732"/>
    <w:rsid w:val="00AD7B17"/>
    <w:rsid w:val="00AE0BED"/>
    <w:rsid w:val="00AE1607"/>
    <w:rsid w:val="00AE3E6F"/>
    <w:rsid w:val="00AF0305"/>
    <w:rsid w:val="00AF1D1E"/>
    <w:rsid w:val="00AF240A"/>
    <w:rsid w:val="00AF2F3E"/>
    <w:rsid w:val="00AF5866"/>
    <w:rsid w:val="00B01BC4"/>
    <w:rsid w:val="00B023CF"/>
    <w:rsid w:val="00B0420B"/>
    <w:rsid w:val="00B045D9"/>
    <w:rsid w:val="00B04706"/>
    <w:rsid w:val="00B1245E"/>
    <w:rsid w:val="00B13A41"/>
    <w:rsid w:val="00B15570"/>
    <w:rsid w:val="00B17FE3"/>
    <w:rsid w:val="00B20BB5"/>
    <w:rsid w:val="00B2395E"/>
    <w:rsid w:val="00B23DDB"/>
    <w:rsid w:val="00B25016"/>
    <w:rsid w:val="00B252AD"/>
    <w:rsid w:val="00B254B9"/>
    <w:rsid w:val="00B34888"/>
    <w:rsid w:val="00B35373"/>
    <w:rsid w:val="00B43709"/>
    <w:rsid w:val="00B46242"/>
    <w:rsid w:val="00B4670A"/>
    <w:rsid w:val="00B50369"/>
    <w:rsid w:val="00B50499"/>
    <w:rsid w:val="00B56E1F"/>
    <w:rsid w:val="00B621ED"/>
    <w:rsid w:val="00B65A30"/>
    <w:rsid w:val="00B6743B"/>
    <w:rsid w:val="00B6777B"/>
    <w:rsid w:val="00B70C1F"/>
    <w:rsid w:val="00B74C11"/>
    <w:rsid w:val="00B76BA6"/>
    <w:rsid w:val="00B93CF3"/>
    <w:rsid w:val="00BA1C48"/>
    <w:rsid w:val="00BA5FEB"/>
    <w:rsid w:val="00BA69D9"/>
    <w:rsid w:val="00BA6EC4"/>
    <w:rsid w:val="00BB33F0"/>
    <w:rsid w:val="00BB5D30"/>
    <w:rsid w:val="00BB73E3"/>
    <w:rsid w:val="00BC3218"/>
    <w:rsid w:val="00BC3C92"/>
    <w:rsid w:val="00BD305A"/>
    <w:rsid w:val="00BE18D1"/>
    <w:rsid w:val="00BE2E39"/>
    <w:rsid w:val="00BE4DF6"/>
    <w:rsid w:val="00BE4F6C"/>
    <w:rsid w:val="00C01E60"/>
    <w:rsid w:val="00C05A14"/>
    <w:rsid w:val="00C0768E"/>
    <w:rsid w:val="00C1279C"/>
    <w:rsid w:val="00C20F09"/>
    <w:rsid w:val="00C2116E"/>
    <w:rsid w:val="00C218EA"/>
    <w:rsid w:val="00C34815"/>
    <w:rsid w:val="00C361B0"/>
    <w:rsid w:val="00C3649A"/>
    <w:rsid w:val="00C376BF"/>
    <w:rsid w:val="00C46C1E"/>
    <w:rsid w:val="00C475D7"/>
    <w:rsid w:val="00C535E1"/>
    <w:rsid w:val="00C57DA8"/>
    <w:rsid w:val="00C630ED"/>
    <w:rsid w:val="00C92370"/>
    <w:rsid w:val="00C941E0"/>
    <w:rsid w:val="00C95DF8"/>
    <w:rsid w:val="00CA0954"/>
    <w:rsid w:val="00CA464D"/>
    <w:rsid w:val="00CA7849"/>
    <w:rsid w:val="00CB60BD"/>
    <w:rsid w:val="00CC10D1"/>
    <w:rsid w:val="00CC1E01"/>
    <w:rsid w:val="00CC69B7"/>
    <w:rsid w:val="00CD1AE8"/>
    <w:rsid w:val="00CE001F"/>
    <w:rsid w:val="00CE0D4E"/>
    <w:rsid w:val="00CE0DE3"/>
    <w:rsid w:val="00CE3C12"/>
    <w:rsid w:val="00CE4E4F"/>
    <w:rsid w:val="00D04446"/>
    <w:rsid w:val="00D10797"/>
    <w:rsid w:val="00D1125B"/>
    <w:rsid w:val="00D11699"/>
    <w:rsid w:val="00D13819"/>
    <w:rsid w:val="00D13B73"/>
    <w:rsid w:val="00D25F4B"/>
    <w:rsid w:val="00D2613F"/>
    <w:rsid w:val="00D264C5"/>
    <w:rsid w:val="00D27204"/>
    <w:rsid w:val="00D34342"/>
    <w:rsid w:val="00D4398C"/>
    <w:rsid w:val="00D456B7"/>
    <w:rsid w:val="00D469AE"/>
    <w:rsid w:val="00D5082C"/>
    <w:rsid w:val="00D56EE1"/>
    <w:rsid w:val="00D60412"/>
    <w:rsid w:val="00D6320B"/>
    <w:rsid w:val="00D63CBF"/>
    <w:rsid w:val="00D64BBF"/>
    <w:rsid w:val="00D70089"/>
    <w:rsid w:val="00D774CA"/>
    <w:rsid w:val="00D8423D"/>
    <w:rsid w:val="00D8726A"/>
    <w:rsid w:val="00D87304"/>
    <w:rsid w:val="00D910C2"/>
    <w:rsid w:val="00D93C83"/>
    <w:rsid w:val="00D9781E"/>
    <w:rsid w:val="00DA3354"/>
    <w:rsid w:val="00DA4C83"/>
    <w:rsid w:val="00DA6EF9"/>
    <w:rsid w:val="00DA7D4A"/>
    <w:rsid w:val="00DB136D"/>
    <w:rsid w:val="00DB2F40"/>
    <w:rsid w:val="00DC0ACF"/>
    <w:rsid w:val="00DC373E"/>
    <w:rsid w:val="00DC39AB"/>
    <w:rsid w:val="00DC4E68"/>
    <w:rsid w:val="00DC51F5"/>
    <w:rsid w:val="00DC59AA"/>
    <w:rsid w:val="00DD0163"/>
    <w:rsid w:val="00DE0618"/>
    <w:rsid w:val="00DE1BB3"/>
    <w:rsid w:val="00DF1678"/>
    <w:rsid w:val="00DF19AD"/>
    <w:rsid w:val="00E003C5"/>
    <w:rsid w:val="00E0134D"/>
    <w:rsid w:val="00E01C32"/>
    <w:rsid w:val="00E069AA"/>
    <w:rsid w:val="00E06A43"/>
    <w:rsid w:val="00E127F1"/>
    <w:rsid w:val="00E136F7"/>
    <w:rsid w:val="00E14C3A"/>
    <w:rsid w:val="00E237F0"/>
    <w:rsid w:val="00E23FED"/>
    <w:rsid w:val="00E248CF"/>
    <w:rsid w:val="00E2523F"/>
    <w:rsid w:val="00E27394"/>
    <w:rsid w:val="00E3471F"/>
    <w:rsid w:val="00E3527D"/>
    <w:rsid w:val="00E40CC2"/>
    <w:rsid w:val="00E43F1A"/>
    <w:rsid w:val="00E44678"/>
    <w:rsid w:val="00E4602F"/>
    <w:rsid w:val="00E46317"/>
    <w:rsid w:val="00E47B96"/>
    <w:rsid w:val="00E53DBB"/>
    <w:rsid w:val="00E63F89"/>
    <w:rsid w:val="00E67882"/>
    <w:rsid w:val="00E714A8"/>
    <w:rsid w:val="00E80D64"/>
    <w:rsid w:val="00E90D0E"/>
    <w:rsid w:val="00E94D8E"/>
    <w:rsid w:val="00E96075"/>
    <w:rsid w:val="00EA1104"/>
    <w:rsid w:val="00EA1BA0"/>
    <w:rsid w:val="00EA3244"/>
    <w:rsid w:val="00EA4E84"/>
    <w:rsid w:val="00EA64FD"/>
    <w:rsid w:val="00EA7E64"/>
    <w:rsid w:val="00EB34B2"/>
    <w:rsid w:val="00EC24CF"/>
    <w:rsid w:val="00EC2FE9"/>
    <w:rsid w:val="00ED2F5D"/>
    <w:rsid w:val="00EE1ED6"/>
    <w:rsid w:val="00EF133E"/>
    <w:rsid w:val="00EF1999"/>
    <w:rsid w:val="00EF1E7B"/>
    <w:rsid w:val="00EF2F69"/>
    <w:rsid w:val="00EF3D34"/>
    <w:rsid w:val="00EF6916"/>
    <w:rsid w:val="00EF7AB4"/>
    <w:rsid w:val="00F04136"/>
    <w:rsid w:val="00F07B59"/>
    <w:rsid w:val="00F1298E"/>
    <w:rsid w:val="00F2045F"/>
    <w:rsid w:val="00F21491"/>
    <w:rsid w:val="00F238B2"/>
    <w:rsid w:val="00F36C17"/>
    <w:rsid w:val="00F36E35"/>
    <w:rsid w:val="00F36E6F"/>
    <w:rsid w:val="00F438EE"/>
    <w:rsid w:val="00F554FD"/>
    <w:rsid w:val="00F55E81"/>
    <w:rsid w:val="00F60DC4"/>
    <w:rsid w:val="00F72747"/>
    <w:rsid w:val="00F73B62"/>
    <w:rsid w:val="00F75122"/>
    <w:rsid w:val="00F763D1"/>
    <w:rsid w:val="00F77B2F"/>
    <w:rsid w:val="00F80226"/>
    <w:rsid w:val="00F80607"/>
    <w:rsid w:val="00F80DCC"/>
    <w:rsid w:val="00F84002"/>
    <w:rsid w:val="00F84027"/>
    <w:rsid w:val="00F90DD8"/>
    <w:rsid w:val="00F91056"/>
    <w:rsid w:val="00F9340B"/>
    <w:rsid w:val="00F95B69"/>
    <w:rsid w:val="00F967BC"/>
    <w:rsid w:val="00F97FA6"/>
    <w:rsid w:val="00FA2436"/>
    <w:rsid w:val="00FB148B"/>
    <w:rsid w:val="00FB5E16"/>
    <w:rsid w:val="00FC1521"/>
    <w:rsid w:val="00FC1902"/>
    <w:rsid w:val="00FC2CA9"/>
    <w:rsid w:val="00FC55A8"/>
    <w:rsid w:val="00FC5EB7"/>
    <w:rsid w:val="00FC6E42"/>
    <w:rsid w:val="00FC7309"/>
    <w:rsid w:val="00FD204F"/>
    <w:rsid w:val="00FD296A"/>
    <w:rsid w:val="00FD4C3E"/>
    <w:rsid w:val="00FD736E"/>
    <w:rsid w:val="00FE219E"/>
    <w:rsid w:val="00FE6711"/>
    <w:rsid w:val="00FE6BF0"/>
    <w:rsid w:val="00FE7F17"/>
    <w:rsid w:val="00FF1381"/>
    <w:rsid w:val="00FF1FEF"/>
    <w:rsid w:val="00FF381C"/>
    <w:rsid w:val="00FF4D39"/>
    <w:rsid w:val="00FF5AF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01444E"/>
  <w15:docId w15:val="{A3DAF063-4D48-E64A-AEFF-88825124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40A"/>
    <w:pPr>
      <w:spacing w:after="0" w:line="360" w:lineRule="auto"/>
    </w:pPr>
    <w:rPr>
      <w:rFonts w:ascii="Arial" w:eastAsia="Times New Roman" w:hAnsi="Arial" w:cs="Times New Roman"/>
      <w:sz w:val="24"/>
      <w:szCs w:val="20"/>
      <w:lang w:eastAsia="de-DE"/>
    </w:rPr>
  </w:style>
  <w:style w:type="paragraph" w:styleId="berschrift1">
    <w:name w:val="heading 1"/>
    <w:next w:val="Standard"/>
    <w:link w:val="berschrift1Zchn"/>
    <w:uiPriority w:val="9"/>
    <w:qFormat/>
    <w:rsid w:val="00191C30"/>
    <w:pPr>
      <w:keepNext/>
      <w:keepLines/>
      <w:spacing w:after="57" w:line="259" w:lineRule="auto"/>
      <w:ind w:left="980"/>
      <w:jc w:val="center"/>
      <w:outlineLvl w:val="0"/>
    </w:pPr>
    <w:rPr>
      <w:rFonts w:ascii="Arial" w:eastAsia="Arial" w:hAnsi="Arial" w:cs="Arial"/>
      <w:b/>
      <w:color w:val="000000"/>
      <w:sz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AF240A"/>
    <w:rPr>
      <w:rFonts w:ascii="Arial" w:hAnsi="Arial"/>
    </w:rPr>
  </w:style>
  <w:style w:type="paragraph" w:styleId="Fuzeile">
    <w:name w:val="footer"/>
    <w:basedOn w:val="Standard"/>
    <w:link w:val="Fu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FuzeileZchn">
    <w:name w:val="Fußzeile Zchn"/>
    <w:basedOn w:val="Absatz-Standardschriftart"/>
    <w:link w:val="Fuzeile"/>
    <w:uiPriority w:val="99"/>
    <w:rsid w:val="00AF240A"/>
    <w:rPr>
      <w:rFonts w:ascii="Arial" w:hAnsi="Arial"/>
    </w:rPr>
  </w:style>
  <w:style w:type="paragraph" w:styleId="Sprechblasentext">
    <w:name w:val="Balloon Text"/>
    <w:basedOn w:val="Standard"/>
    <w:link w:val="SprechblasentextZchn"/>
    <w:uiPriority w:val="99"/>
    <w:semiHidden/>
    <w:unhideWhenUsed/>
    <w:rsid w:val="00AF240A"/>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F240A"/>
    <w:rPr>
      <w:rFonts w:ascii="Tahoma" w:hAnsi="Tahoma" w:cs="Tahoma"/>
      <w:sz w:val="16"/>
      <w:szCs w:val="16"/>
    </w:rPr>
  </w:style>
  <w:style w:type="paragraph" w:customStyle="1" w:styleId="Default">
    <w:name w:val="Default"/>
    <w:rsid w:val="00232120"/>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berschrift1Zchn">
    <w:name w:val="Überschrift 1 Zchn"/>
    <w:basedOn w:val="Absatz-Standardschriftart"/>
    <w:link w:val="berschrift1"/>
    <w:uiPriority w:val="9"/>
    <w:rsid w:val="00191C30"/>
    <w:rPr>
      <w:rFonts w:ascii="Arial" w:eastAsia="Arial" w:hAnsi="Arial" w:cs="Arial"/>
      <w:b/>
      <w:color w:val="000000"/>
      <w:sz w:val="36"/>
      <w:lang w:eastAsia="de-DE"/>
    </w:rPr>
  </w:style>
  <w:style w:type="paragraph" w:styleId="Listenabsatz">
    <w:name w:val="List Paragraph"/>
    <w:basedOn w:val="Standard"/>
    <w:qFormat/>
    <w:rsid w:val="00191C30"/>
    <w:pPr>
      <w:spacing w:after="200" w:line="276" w:lineRule="auto"/>
      <w:ind w:left="720"/>
      <w:contextualSpacing/>
    </w:pPr>
    <w:rPr>
      <w:rFonts w:ascii="Calibri" w:eastAsia="Calibri" w:hAnsi="Calibri"/>
      <w:sz w:val="22"/>
      <w:szCs w:val="22"/>
      <w:lang w:eastAsia="en-US"/>
    </w:rPr>
  </w:style>
  <w:style w:type="character" w:styleId="Kommentarzeichen">
    <w:name w:val="annotation reference"/>
    <w:uiPriority w:val="99"/>
    <w:semiHidden/>
    <w:unhideWhenUsed/>
    <w:rsid w:val="00191C30"/>
    <w:rPr>
      <w:sz w:val="16"/>
      <w:szCs w:val="16"/>
    </w:rPr>
  </w:style>
  <w:style w:type="paragraph" w:styleId="Kommentartext">
    <w:name w:val="annotation text"/>
    <w:basedOn w:val="Standard"/>
    <w:link w:val="KommentartextZchn"/>
    <w:uiPriority w:val="99"/>
    <w:semiHidden/>
    <w:unhideWhenUsed/>
    <w:rsid w:val="00191C30"/>
    <w:pPr>
      <w:spacing w:after="200" w:line="276" w:lineRule="auto"/>
    </w:pPr>
    <w:rPr>
      <w:rFonts w:ascii="Calibri" w:eastAsia="Calibri" w:hAnsi="Calibri"/>
      <w:sz w:val="20"/>
      <w:lang w:eastAsia="en-US"/>
    </w:rPr>
  </w:style>
  <w:style w:type="character" w:customStyle="1" w:styleId="KommentartextZchn">
    <w:name w:val="Kommentartext Zchn"/>
    <w:basedOn w:val="Absatz-Standardschriftart"/>
    <w:link w:val="Kommentartext"/>
    <w:uiPriority w:val="99"/>
    <w:semiHidden/>
    <w:rsid w:val="00191C30"/>
    <w:rPr>
      <w:rFonts w:ascii="Calibri" w:eastAsia="Calibri" w:hAnsi="Calibri" w:cs="Times New Roman"/>
      <w:sz w:val="20"/>
      <w:szCs w:val="20"/>
    </w:rPr>
  </w:style>
  <w:style w:type="paragraph" w:styleId="StandardWeb">
    <w:name w:val="Normal (Web)"/>
    <w:basedOn w:val="Standard"/>
    <w:uiPriority w:val="99"/>
    <w:semiHidden/>
    <w:unhideWhenUsed/>
    <w:rsid w:val="00692E1F"/>
    <w:pPr>
      <w:spacing w:before="100" w:beforeAutospacing="1" w:after="100" w:afterAutospacing="1" w:line="240" w:lineRule="auto"/>
    </w:pPr>
    <w:rPr>
      <w:rFonts w:ascii="Times New Roman" w:hAnsi="Times New Roman"/>
      <w:szCs w:val="24"/>
      <w:lang w:eastAsia="zh-CN"/>
    </w:rPr>
  </w:style>
  <w:style w:type="paragraph" w:styleId="Kommentarthema">
    <w:name w:val="annotation subject"/>
    <w:basedOn w:val="Kommentartext"/>
    <w:next w:val="Kommentartext"/>
    <w:link w:val="KommentarthemaZchn"/>
    <w:uiPriority w:val="99"/>
    <w:semiHidden/>
    <w:unhideWhenUsed/>
    <w:rsid w:val="00FF5AF8"/>
    <w:pPr>
      <w:spacing w:after="0" w:line="240" w:lineRule="auto"/>
    </w:pPr>
    <w:rPr>
      <w:rFonts w:ascii="Arial" w:eastAsia="Times New Roman" w:hAnsi="Arial"/>
      <w:b/>
      <w:bCs/>
      <w:lang w:eastAsia="de-DE"/>
    </w:rPr>
  </w:style>
  <w:style w:type="character" w:customStyle="1" w:styleId="KommentarthemaZchn">
    <w:name w:val="Kommentarthema Zchn"/>
    <w:basedOn w:val="KommentartextZchn"/>
    <w:link w:val="Kommentarthema"/>
    <w:uiPriority w:val="99"/>
    <w:semiHidden/>
    <w:rsid w:val="00FF5AF8"/>
    <w:rPr>
      <w:rFonts w:ascii="Arial" w:eastAsia="Times New Roman" w:hAnsi="Arial" w:cs="Times New Roman"/>
      <w:b/>
      <w:bCs/>
      <w:sz w:val="20"/>
      <w:szCs w:val="20"/>
      <w:lang w:eastAsia="de-DE"/>
    </w:rPr>
  </w:style>
  <w:style w:type="paragraph" w:styleId="berarbeitung">
    <w:name w:val="Revision"/>
    <w:hidden/>
    <w:uiPriority w:val="99"/>
    <w:semiHidden/>
    <w:rsid w:val="00394778"/>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Sudmann</dc:creator>
  <cp:lastModifiedBy>Heike Sudmann</cp:lastModifiedBy>
  <cp:revision>5</cp:revision>
  <dcterms:created xsi:type="dcterms:W3CDTF">2021-11-17T16:39:00Z</dcterms:created>
  <dcterms:modified xsi:type="dcterms:W3CDTF">2021-11-17T17:02:00Z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Name">
    <vt:lpwstr>Birgit Maybohm</vt:lpwstr>
  </property>
  <property fmtid="{D5CDD505-2E9C-101B-9397-08002B2CF9AE}" pid="3" name="BKPhone">
    <vt:lpwstr>+49 40 428 31-1370</vt:lpwstr>
  </property>
  <property fmtid="{D5CDD505-2E9C-101B-9397-08002B2CF9AE}" pid="4" name="BKFax">
    <vt:lpwstr>+49 40 427 31-2296</vt:lpwstr>
  </property>
  <property fmtid="{D5CDD505-2E9C-101B-9397-08002B2CF9AE}" pid="5" name="BKEmail">
    <vt:lpwstr>birgit.maybohm@bk.hamburg.de</vt:lpwstr>
  </property>
  <property fmtid="{D5CDD505-2E9C-101B-9397-08002B2CF9AE}" pid="6" name="BKDepartment">
    <vt:lpwstr>Plenum</vt:lpwstr>
  </property>
  <property fmtid="{D5CDD505-2E9C-101B-9397-08002B2CF9AE}" pid="7" name="BKAddress">
    <vt:lpwstr>Rathausmarkt 1</vt:lpwstr>
  </property>
  <property fmtid="{D5CDD505-2E9C-101B-9397-08002B2CF9AE}" pid="8" name="BKCity">
    <vt:lpwstr>20095 Hamburg</vt:lpwstr>
  </property>
</Properties>
</file>