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F9" w:rsidRPr="00862256" w:rsidRDefault="002403F4" w:rsidP="002403F4">
      <w:pPr>
        <w:autoSpaceDE w:val="0"/>
        <w:autoSpaceDN w:val="0"/>
        <w:adjustRightInd w:val="0"/>
        <w:spacing w:line="240" w:lineRule="auto"/>
        <w:jc w:val="right"/>
        <w:rPr>
          <w:rFonts w:cs="Arial"/>
          <w:b/>
          <w:bCs/>
          <w:color w:val="000000"/>
          <w:sz w:val="28"/>
          <w:szCs w:val="28"/>
        </w:rPr>
      </w:pPr>
      <w:bookmarkStart w:id="0" w:name="_GoBack"/>
      <w:bookmarkEnd w:id="0"/>
      <w:r>
        <w:rPr>
          <w:sz w:val="20"/>
          <w:szCs w:val="22"/>
        </w:rPr>
        <w:t>3. Februar 2023</w:t>
      </w:r>
    </w:p>
    <w:p w:rsidR="00862256" w:rsidRPr="00E833F7" w:rsidRDefault="00862256">
      <w:pPr>
        <w:autoSpaceDE w:val="0"/>
        <w:autoSpaceDN w:val="0"/>
        <w:adjustRightInd w:val="0"/>
        <w:spacing w:line="240" w:lineRule="auto"/>
        <w:jc w:val="center"/>
        <w:rPr>
          <w:rFonts w:cs="Arial"/>
          <w:b/>
          <w:bCs/>
          <w:color w:val="000000"/>
          <w:szCs w:val="24"/>
        </w:rPr>
      </w:pPr>
    </w:p>
    <w:p w:rsidR="00862256" w:rsidRPr="00B86453" w:rsidRDefault="00862256" w:rsidP="00E833F7">
      <w:pPr>
        <w:spacing w:after="240" w:line="240" w:lineRule="auto"/>
        <w:jc w:val="center"/>
        <w:rPr>
          <w:b/>
          <w:sz w:val="36"/>
          <w:szCs w:val="36"/>
        </w:rPr>
      </w:pPr>
      <w:r w:rsidRPr="00862256">
        <w:rPr>
          <w:rFonts w:cs="Arial"/>
          <w:szCs w:val="24"/>
        </w:rPr>
        <w:t xml:space="preserve"> </w:t>
      </w:r>
      <w:r w:rsidRPr="00B86453">
        <w:rPr>
          <w:b/>
          <w:sz w:val="36"/>
          <w:szCs w:val="36"/>
        </w:rPr>
        <w:t>Schriftliche Kleine Anfrage</w:t>
      </w:r>
    </w:p>
    <w:p w:rsidR="00934E5F" w:rsidRDefault="00934E5F" w:rsidP="00934E5F">
      <w:pPr>
        <w:autoSpaceDE w:val="0"/>
        <w:autoSpaceDN w:val="0"/>
        <w:adjustRightInd w:val="0"/>
        <w:spacing w:line="240" w:lineRule="auto"/>
        <w:jc w:val="center"/>
        <w:rPr>
          <w:b/>
          <w:sz w:val="20"/>
        </w:rPr>
      </w:pPr>
      <w:r w:rsidRPr="00934E5F">
        <w:rPr>
          <w:b/>
          <w:sz w:val="20"/>
        </w:rPr>
        <w:t>der Abgeordneten Dr. Stephanie Rose und Stephan Jersch (DIE LINKE) vom 26.01.</w:t>
      </w:r>
      <w:r>
        <w:rPr>
          <w:b/>
          <w:sz w:val="20"/>
        </w:rPr>
        <w:t>20</w:t>
      </w:r>
      <w:r w:rsidRPr="00934E5F">
        <w:rPr>
          <w:b/>
          <w:sz w:val="20"/>
        </w:rPr>
        <w:t>23</w:t>
      </w:r>
    </w:p>
    <w:p w:rsidR="00AD44F9" w:rsidRDefault="00862256" w:rsidP="0086520C">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rsidR="00862256" w:rsidRPr="00862256" w:rsidRDefault="00862256" w:rsidP="000F5FD7">
      <w:pPr>
        <w:autoSpaceDE w:val="0"/>
        <w:autoSpaceDN w:val="0"/>
        <w:adjustRightInd w:val="0"/>
        <w:spacing w:before="240" w:line="240" w:lineRule="auto"/>
        <w:jc w:val="center"/>
        <w:rPr>
          <w:b/>
          <w:sz w:val="28"/>
          <w:szCs w:val="28"/>
        </w:rPr>
      </w:pPr>
      <w:r>
        <w:rPr>
          <w:b/>
          <w:sz w:val="28"/>
          <w:szCs w:val="28"/>
        </w:rPr>
        <w:t>- Drucksache 2</w:t>
      </w:r>
      <w:r w:rsidR="009E56B6">
        <w:rPr>
          <w:b/>
          <w:sz w:val="28"/>
          <w:szCs w:val="28"/>
        </w:rPr>
        <w:t>2</w:t>
      </w:r>
      <w:r>
        <w:rPr>
          <w:b/>
          <w:sz w:val="28"/>
          <w:szCs w:val="28"/>
        </w:rPr>
        <w:t>/</w:t>
      </w:r>
      <w:r w:rsidR="00657703">
        <w:rPr>
          <w:b/>
          <w:sz w:val="28"/>
          <w:szCs w:val="28"/>
        </w:rPr>
        <w:t>10</w:t>
      </w:r>
      <w:r w:rsidR="00DC2773">
        <w:rPr>
          <w:b/>
          <w:sz w:val="28"/>
          <w:szCs w:val="28"/>
        </w:rPr>
        <w:t>7</w:t>
      </w:r>
      <w:r w:rsidR="00B7097F">
        <w:rPr>
          <w:b/>
          <w:sz w:val="28"/>
          <w:szCs w:val="28"/>
        </w:rPr>
        <w:t>94</w:t>
      </w:r>
      <w:r>
        <w:rPr>
          <w:b/>
          <w:sz w:val="28"/>
          <w:szCs w:val="28"/>
        </w:rPr>
        <w:t xml:space="preserve"> -</w:t>
      </w:r>
    </w:p>
    <w:p w:rsidR="00AD44F9" w:rsidRDefault="00AD44F9">
      <w:pPr>
        <w:spacing w:line="240" w:lineRule="auto"/>
        <w:rPr>
          <w:sz w:val="22"/>
          <w:szCs w:val="22"/>
        </w:rPr>
      </w:pPr>
    </w:p>
    <w:p w:rsidR="0067649B" w:rsidRPr="0067649B" w:rsidRDefault="003E2E94" w:rsidP="0067649B">
      <w:pPr>
        <w:pStyle w:val="Titel-Betreff"/>
        <w:spacing w:after="0"/>
        <w:ind w:left="851" w:hanging="851"/>
        <w:jc w:val="both"/>
      </w:pPr>
      <w:r w:rsidRPr="00296607">
        <w:t>Betr.:</w:t>
      </w:r>
      <w:r w:rsidRPr="00296607">
        <w:tab/>
      </w:r>
      <w:r w:rsidR="00934E5F" w:rsidRPr="00934E5F">
        <w:t>Vermeidung von Energiesperren: Wirkt der Härtefallfonds?</w:t>
      </w:r>
    </w:p>
    <w:p w:rsidR="0067649B" w:rsidRDefault="0067649B" w:rsidP="0086520C">
      <w:pPr>
        <w:autoSpaceDE w:val="0"/>
        <w:autoSpaceDN w:val="0"/>
        <w:adjustRightInd w:val="0"/>
        <w:spacing w:line="240" w:lineRule="auto"/>
        <w:rPr>
          <w:rFonts w:eastAsia="Arial"/>
          <w:b/>
          <w:sz w:val="20"/>
          <w:lang w:eastAsia="en-US"/>
        </w:rPr>
      </w:pPr>
    </w:p>
    <w:p w:rsidR="009E56B6" w:rsidRPr="00377E1B" w:rsidRDefault="009E56B6" w:rsidP="0086520C">
      <w:pPr>
        <w:autoSpaceDE w:val="0"/>
        <w:autoSpaceDN w:val="0"/>
        <w:adjustRightInd w:val="0"/>
        <w:spacing w:line="240" w:lineRule="auto"/>
        <w:rPr>
          <w:rFonts w:cs="Arial"/>
          <w:b/>
          <w:i/>
          <w:sz w:val="20"/>
        </w:rPr>
      </w:pPr>
      <w:r w:rsidRPr="00377E1B">
        <w:rPr>
          <w:rFonts w:cs="Arial"/>
          <w:b/>
          <w:i/>
          <w:sz w:val="20"/>
        </w:rPr>
        <w:t>Einleitung für die Fragen:</w:t>
      </w:r>
    </w:p>
    <w:p w:rsidR="009E56B6" w:rsidRDefault="009E56B6" w:rsidP="000F5FD7">
      <w:pPr>
        <w:autoSpaceDE w:val="0"/>
        <w:autoSpaceDN w:val="0"/>
        <w:adjustRightInd w:val="0"/>
        <w:spacing w:line="240" w:lineRule="auto"/>
        <w:ind w:left="364"/>
        <w:rPr>
          <w:rFonts w:cs="Arial"/>
          <w:i/>
          <w:sz w:val="20"/>
        </w:rPr>
      </w:pPr>
    </w:p>
    <w:p w:rsidR="00934E5F" w:rsidRPr="00934E5F" w:rsidRDefault="00934E5F" w:rsidP="00934B87">
      <w:pPr>
        <w:spacing w:before="80" w:after="240" w:line="240" w:lineRule="auto"/>
        <w:ind w:left="851"/>
        <w:jc w:val="both"/>
        <w:rPr>
          <w:rFonts w:eastAsia="Arial"/>
          <w:i/>
          <w:sz w:val="20"/>
          <w:lang w:eastAsia="en-US"/>
        </w:rPr>
      </w:pPr>
      <w:r w:rsidRPr="00934E5F">
        <w:rPr>
          <w:rFonts w:eastAsia="Arial"/>
          <w:i/>
          <w:sz w:val="20"/>
          <w:lang w:eastAsia="en-US"/>
        </w:rPr>
        <w:t>Die stark gestiegenen Energiekosten bringen insbesondere Haushalte mit geringem Einkommen an ihre finanziellen Belastungsgrenzen und drohen Energiearmut zu verschärfen. Denn auch das neue Bürgergeld deckt nach Berechnungen des Online-Portals Check24 die Stromkosten ebenso wenig ab wie zuvor Hartz IV. Um Energiesperren zu verhindern, hat der Hamburger Senat unter Federführung der Sozialbehörde einen sogenannten Härtefallfonds eingerichtet. Der Härtefallfonds ist mit 15 Millionen Euro ausgestattet und richtet sich an Menschen, die ihre Energiekosten nicht zahlen können und bei denen weder die sozialen Sicherungssysteme greifen noch eine Möglichkeit zur Selbsthilfe besteht. Außerdem muss der Energieversorger eine Sperre mit einem konkreten Datum angekündigt haben. Voraussetzung für eine Schuldenübernahme ist, dass der Energieversorger eine entsprechende Vereinbarung mit der Freien und Hansestadt Hamburg geschlossen hat. Der Fonds wird durch die öffentlich geförderten Schuldnerberatungsstellen abgewickelt. Die Schuldnerberatungsstellen sollten zur Abwicklung des Härtefallfonds personell entsprechend aufgestockt werden.</w:t>
      </w:r>
    </w:p>
    <w:p w:rsidR="00934E5F" w:rsidRPr="00934E5F" w:rsidRDefault="00934E5F" w:rsidP="00934E5F">
      <w:pPr>
        <w:spacing w:before="80" w:line="240" w:lineRule="auto"/>
        <w:ind w:left="851"/>
        <w:jc w:val="both"/>
        <w:rPr>
          <w:rFonts w:eastAsia="Arial"/>
          <w:i/>
          <w:sz w:val="20"/>
          <w:lang w:eastAsia="en-US"/>
        </w:rPr>
      </w:pPr>
      <w:r w:rsidRPr="00934E5F">
        <w:rPr>
          <w:rFonts w:eastAsia="Arial"/>
          <w:i/>
          <w:sz w:val="20"/>
          <w:lang w:eastAsia="en-US"/>
        </w:rPr>
        <w:t>Wir fragen den Senat:</w:t>
      </w:r>
    </w:p>
    <w:p w:rsidR="00D67DA0" w:rsidRDefault="00D67DA0" w:rsidP="0086520C">
      <w:pPr>
        <w:autoSpaceDE w:val="0"/>
        <w:autoSpaceDN w:val="0"/>
        <w:adjustRightInd w:val="0"/>
        <w:spacing w:line="240" w:lineRule="auto"/>
        <w:ind w:left="364"/>
        <w:rPr>
          <w:rFonts w:cs="Arial"/>
          <w:sz w:val="20"/>
        </w:rPr>
      </w:pPr>
    </w:p>
    <w:p w:rsidR="00075324" w:rsidRPr="00075324" w:rsidRDefault="00075324" w:rsidP="00075324">
      <w:pPr>
        <w:spacing w:before="80" w:line="240" w:lineRule="auto"/>
        <w:jc w:val="both"/>
        <w:rPr>
          <w:rFonts w:eastAsia="Arial"/>
          <w:iCs/>
          <w:sz w:val="20"/>
          <w:lang w:eastAsia="en-US"/>
        </w:rPr>
      </w:pPr>
      <w:r w:rsidRPr="00075324">
        <w:rPr>
          <w:rFonts w:eastAsia="Arial"/>
          <w:iCs/>
          <w:sz w:val="20"/>
          <w:lang w:eastAsia="en-US"/>
        </w:rPr>
        <w:t xml:space="preserve">Das Absperren von Strom, Gas, Wasser oder Fernwärme führt zu einer schwerwiegenden Beeinträchtigung der Lebenssituation der Betroffenen. Auch bei anhaltend hohen Energiepreisen bleibt es das Ziel des Senats, das Eintreten dieser Situation möglichst zu vermeiden. </w:t>
      </w:r>
    </w:p>
    <w:p w:rsidR="00BD58A4" w:rsidRDefault="00075324" w:rsidP="00075324">
      <w:pPr>
        <w:spacing w:before="80" w:line="240" w:lineRule="auto"/>
        <w:jc w:val="both"/>
        <w:rPr>
          <w:rFonts w:eastAsia="Arial"/>
          <w:iCs/>
          <w:sz w:val="20"/>
          <w:lang w:eastAsia="en-US"/>
        </w:rPr>
      </w:pPr>
      <w:r w:rsidRPr="00075324">
        <w:rPr>
          <w:rFonts w:eastAsia="Arial"/>
          <w:iCs/>
          <w:sz w:val="20"/>
          <w:lang w:eastAsia="en-US"/>
        </w:rPr>
        <w:t xml:space="preserve">Für Bezieherinnen und Bezieher von existenzsichernden Leistungen bestehen bundesrechtlich ausgestaltete Leistungsansprüche. Die Bundesregierung hat angesichts hoher Energiepreise zudem zahlreiche Entlastungsmaßnahmen wie Direktzahlungen, Steuererleichterungen und Energiepreisbremsen beschlossen und weitgehend umgesetzt. </w:t>
      </w:r>
    </w:p>
    <w:p w:rsidR="00075324" w:rsidRPr="00075324" w:rsidRDefault="00075324" w:rsidP="00075324">
      <w:pPr>
        <w:spacing w:before="80" w:line="240" w:lineRule="auto"/>
        <w:jc w:val="both"/>
        <w:rPr>
          <w:rFonts w:eastAsia="Arial"/>
          <w:iCs/>
          <w:sz w:val="20"/>
          <w:lang w:eastAsia="en-US"/>
        </w:rPr>
      </w:pPr>
      <w:r w:rsidRPr="00075324">
        <w:rPr>
          <w:rFonts w:eastAsia="Arial"/>
          <w:iCs/>
          <w:sz w:val="20"/>
          <w:lang w:eastAsia="en-US"/>
        </w:rPr>
        <w:t>Bürgerinnen und Bürger in einer angespannten finanziellen Situation können sich zudem an die verschiedenen hamburgischen Schuldnerberatungsstellen und insbesondere auch an die Verbraucherzentrale Hamburg e.V. wenden, die Expertinnen und Experten für das Thema Strom- und Gasschulden beschäftigt. Jobcenter und Grundsicherungsämter gewähren ergänzende Darlehen zur Deckung von Haushaltsenergiebedarfen; zudem bieten verschiedene Energieversorger unterschiedliche Modelle des Zahlungsaufschubs an. Die weitere Umsetzung des Maßnahmenkatalogs des Runden Tisches zur Vermeidung von Strom-, Gas- und Wassersperren trägt ebenfalls dazu bei, Versorgungssperren in Hamburg zu reduzieren.</w:t>
      </w:r>
    </w:p>
    <w:p w:rsidR="00075324" w:rsidRPr="00075324" w:rsidRDefault="00075324" w:rsidP="00075324">
      <w:pPr>
        <w:spacing w:before="80" w:line="240" w:lineRule="auto"/>
        <w:jc w:val="both"/>
        <w:rPr>
          <w:rFonts w:eastAsia="Arial"/>
          <w:iCs/>
          <w:sz w:val="20"/>
          <w:lang w:eastAsia="en-US"/>
        </w:rPr>
      </w:pPr>
      <w:r w:rsidRPr="00075324">
        <w:rPr>
          <w:rFonts w:eastAsia="Arial"/>
          <w:iCs/>
          <w:sz w:val="20"/>
          <w:lang w:eastAsia="en-US"/>
        </w:rPr>
        <w:t>Verschiedene Angebote wie das vom Caritasverband für Hamburg e.V. getragene und u. a. aus Mitteln der F</w:t>
      </w:r>
      <w:r>
        <w:rPr>
          <w:rFonts w:eastAsia="Arial"/>
          <w:iCs/>
          <w:sz w:val="20"/>
          <w:lang w:eastAsia="en-US"/>
        </w:rPr>
        <w:t>reien und Hansestadt Hamburg</w:t>
      </w:r>
      <w:r w:rsidR="00711F4B">
        <w:rPr>
          <w:rFonts w:eastAsia="Arial"/>
          <w:iCs/>
          <w:sz w:val="20"/>
          <w:lang w:eastAsia="en-US"/>
        </w:rPr>
        <w:t xml:space="preserve"> (FHH)</w:t>
      </w:r>
      <w:r w:rsidRPr="00075324">
        <w:rPr>
          <w:rFonts w:eastAsia="Arial"/>
          <w:iCs/>
          <w:sz w:val="20"/>
          <w:lang w:eastAsia="en-US"/>
        </w:rPr>
        <w:t xml:space="preserve"> geförderte Projekt „Stromspar-Check“ beraten speziell einkommensschwache Haushalte darin, wie sie ihre Energiekosten senken und dadurch ggf. auch Zahlungsrückstände vermeiden können. Zusätzlich gibt es eine Effizienzgeräteförderung zur Anschaffung von hocheffizienten Kühlgeräten.</w:t>
      </w:r>
    </w:p>
    <w:p w:rsidR="00651A02" w:rsidRDefault="001E436D" w:rsidP="00075324">
      <w:pPr>
        <w:spacing w:before="80" w:line="240" w:lineRule="auto"/>
        <w:jc w:val="both"/>
        <w:rPr>
          <w:rFonts w:eastAsia="Arial"/>
          <w:iCs/>
          <w:sz w:val="20"/>
          <w:lang w:eastAsia="en-US"/>
        </w:rPr>
      </w:pPr>
      <w:r>
        <w:rPr>
          <w:rFonts w:eastAsia="Arial"/>
          <w:iCs/>
          <w:sz w:val="20"/>
          <w:lang w:eastAsia="en-US"/>
        </w:rPr>
        <w:t>Die</w:t>
      </w:r>
      <w:r w:rsidR="00075324" w:rsidRPr="00075324">
        <w:rPr>
          <w:rFonts w:eastAsia="Arial"/>
          <w:iCs/>
          <w:sz w:val="20"/>
          <w:lang w:eastAsia="en-US"/>
        </w:rPr>
        <w:t xml:space="preserve"> Hamburger Energiewerke GmbH (HEnW)</w:t>
      </w:r>
      <w:r>
        <w:rPr>
          <w:rFonts w:eastAsia="Arial"/>
          <w:iCs/>
          <w:sz w:val="20"/>
          <w:lang w:eastAsia="en-US"/>
        </w:rPr>
        <w:t xml:space="preserve"> geben</w:t>
      </w:r>
      <w:r w:rsidR="00075324" w:rsidRPr="00075324">
        <w:rPr>
          <w:rFonts w:eastAsia="Arial"/>
          <w:iCs/>
          <w:sz w:val="20"/>
          <w:lang w:eastAsia="en-US"/>
        </w:rPr>
        <w:t xml:space="preserve"> als Strom- und Gaslieferant keine Sperrungen in Auftrag, sondern kündig</w:t>
      </w:r>
      <w:r w:rsidR="0003283E">
        <w:rPr>
          <w:rFonts w:eastAsia="Arial"/>
          <w:iCs/>
          <w:sz w:val="20"/>
          <w:lang w:eastAsia="en-US"/>
        </w:rPr>
        <w:t>en</w:t>
      </w:r>
      <w:r w:rsidR="00075324" w:rsidRPr="00075324">
        <w:rPr>
          <w:rFonts w:eastAsia="Arial"/>
          <w:iCs/>
          <w:sz w:val="20"/>
          <w:lang w:eastAsia="en-US"/>
        </w:rPr>
        <w:t xml:space="preserve"> säumigen Kundinnen und Kunden, wenn sie nach Erhalt von zwei Mahnungen nicht innerhalb einer bestimmten Frist die ausstehenden Forderungen begleichen. Die </w:t>
      </w:r>
      <w:r w:rsidR="00075324">
        <w:rPr>
          <w:rFonts w:eastAsia="Arial"/>
          <w:iCs/>
          <w:sz w:val="20"/>
          <w:lang w:eastAsia="en-US"/>
        </w:rPr>
        <w:t xml:space="preserve">Kundinnen und </w:t>
      </w:r>
      <w:r w:rsidR="00075324" w:rsidRPr="00075324">
        <w:rPr>
          <w:rFonts w:eastAsia="Arial"/>
          <w:iCs/>
          <w:sz w:val="20"/>
          <w:lang w:eastAsia="en-US"/>
        </w:rPr>
        <w:t xml:space="preserve">Kunden gelangen dann sowohl bei Strom als auch </w:t>
      </w:r>
      <w:r w:rsidR="0003283E">
        <w:rPr>
          <w:rFonts w:eastAsia="Arial"/>
          <w:iCs/>
          <w:sz w:val="20"/>
          <w:lang w:eastAsia="en-US"/>
        </w:rPr>
        <w:t xml:space="preserve">bei </w:t>
      </w:r>
      <w:r w:rsidR="00075324" w:rsidRPr="00075324">
        <w:rPr>
          <w:rFonts w:eastAsia="Arial"/>
          <w:iCs/>
          <w:sz w:val="20"/>
          <w:lang w:eastAsia="en-US"/>
        </w:rPr>
        <w:t xml:space="preserve">Gas automatisch in die Grundversorgung. </w:t>
      </w:r>
    </w:p>
    <w:p w:rsidR="00651A02" w:rsidRDefault="00651A02" w:rsidP="00934B87">
      <w:pPr>
        <w:spacing w:before="240" w:line="240" w:lineRule="auto"/>
        <w:jc w:val="both"/>
        <w:outlineLvl w:val="2"/>
        <w:rPr>
          <w:rFonts w:eastAsia="Arial"/>
          <w:iCs/>
          <w:sz w:val="20"/>
          <w:lang w:eastAsia="en-US"/>
        </w:rPr>
      </w:pPr>
      <w:r w:rsidRPr="001468B9">
        <w:rPr>
          <w:rFonts w:eastAsia="Arial"/>
          <w:iCs/>
          <w:sz w:val="20"/>
          <w:lang w:eastAsia="en-US"/>
        </w:rPr>
        <w:lastRenderedPageBreak/>
        <w:t xml:space="preserve">In der bestehenden Krisensituation haben die </w:t>
      </w:r>
      <w:r>
        <w:rPr>
          <w:rFonts w:eastAsia="Arial"/>
          <w:iCs/>
          <w:sz w:val="20"/>
          <w:lang w:eastAsia="en-US"/>
        </w:rPr>
        <w:t>HEnW</w:t>
      </w:r>
      <w:r w:rsidRPr="001468B9">
        <w:rPr>
          <w:rFonts w:eastAsia="Arial"/>
          <w:iCs/>
          <w:sz w:val="20"/>
          <w:lang w:eastAsia="en-US"/>
        </w:rPr>
        <w:t xml:space="preserve"> ihre Kulanzregeln ausgeweitet und erklärt, grundsätzlich keine Kündigungen auszusprechen. Kundinnen und Kunden können bei Zahlungsproblemen eine Ratenzahlung vereinbaren und/oder Zahlungen werden gestundet. Zusätzlich erhalten </w:t>
      </w:r>
      <w:r>
        <w:rPr>
          <w:rFonts w:eastAsia="Arial"/>
          <w:iCs/>
          <w:sz w:val="20"/>
          <w:lang w:eastAsia="en-US"/>
        </w:rPr>
        <w:t xml:space="preserve">Kundinnen und </w:t>
      </w:r>
      <w:r w:rsidRPr="001468B9">
        <w:rPr>
          <w:rFonts w:eastAsia="Arial"/>
          <w:iCs/>
          <w:sz w:val="20"/>
          <w:lang w:eastAsia="en-US"/>
        </w:rPr>
        <w:t>Kunden für Öko-Gas und Öko-Strom einmalig einen Treuebonus in Höhe von 140 Euro.</w:t>
      </w:r>
    </w:p>
    <w:p w:rsidR="00075324" w:rsidRDefault="00075324" w:rsidP="00934B87">
      <w:pPr>
        <w:spacing w:before="80" w:after="240" w:line="240" w:lineRule="auto"/>
        <w:jc w:val="both"/>
        <w:rPr>
          <w:rFonts w:eastAsia="Arial"/>
          <w:iCs/>
          <w:sz w:val="20"/>
          <w:lang w:eastAsia="en-US"/>
        </w:rPr>
      </w:pPr>
      <w:r w:rsidRPr="00075324">
        <w:rPr>
          <w:rFonts w:eastAsia="Arial"/>
          <w:iCs/>
          <w:sz w:val="20"/>
          <w:lang w:eastAsia="en-US"/>
        </w:rPr>
        <w:t>Sperrungen bei Fernwärmekund</w:t>
      </w:r>
      <w:r>
        <w:rPr>
          <w:rFonts w:eastAsia="Arial"/>
          <w:iCs/>
          <w:sz w:val="20"/>
          <w:lang w:eastAsia="en-US"/>
        </w:rPr>
        <w:t>innen und -kunden</w:t>
      </w:r>
      <w:r w:rsidRPr="00075324">
        <w:rPr>
          <w:rFonts w:eastAsia="Arial"/>
          <w:iCs/>
          <w:sz w:val="20"/>
          <w:lang w:eastAsia="en-US"/>
        </w:rPr>
        <w:t xml:space="preserve"> sind </w:t>
      </w:r>
      <w:r w:rsidR="00651A02">
        <w:rPr>
          <w:rFonts w:eastAsia="Arial"/>
          <w:iCs/>
          <w:sz w:val="20"/>
          <w:lang w:eastAsia="en-US"/>
        </w:rPr>
        <w:t xml:space="preserve">sehr </w:t>
      </w:r>
      <w:r w:rsidRPr="00075324">
        <w:rPr>
          <w:rFonts w:eastAsia="Arial"/>
          <w:iCs/>
          <w:sz w:val="20"/>
          <w:lang w:eastAsia="en-US"/>
        </w:rPr>
        <w:t xml:space="preserve">seltene Ausnahmefälle, die </w:t>
      </w:r>
      <w:r w:rsidR="00651A02">
        <w:rPr>
          <w:rFonts w:eastAsia="Arial"/>
          <w:iCs/>
          <w:sz w:val="20"/>
          <w:lang w:eastAsia="en-US"/>
        </w:rPr>
        <w:t xml:space="preserve">i.d.R. </w:t>
      </w:r>
      <w:r w:rsidRPr="00075324">
        <w:rPr>
          <w:rFonts w:eastAsia="Arial"/>
          <w:iCs/>
          <w:sz w:val="20"/>
          <w:lang w:eastAsia="en-US"/>
        </w:rPr>
        <w:t>nicht in Verbindung mit der aktuellen Krise stehen.</w:t>
      </w:r>
    </w:p>
    <w:p w:rsidR="002403F4" w:rsidRDefault="00BD58A4" w:rsidP="002403F4">
      <w:pPr>
        <w:spacing w:line="240" w:lineRule="auto"/>
        <w:jc w:val="both"/>
        <w:rPr>
          <w:rFonts w:eastAsia="Arial"/>
          <w:iCs/>
          <w:sz w:val="20"/>
          <w:lang w:eastAsia="en-US"/>
        </w:rPr>
      </w:pPr>
      <w:r>
        <w:rPr>
          <w:rFonts w:eastAsia="Arial"/>
          <w:iCs/>
          <w:sz w:val="20"/>
          <w:lang w:eastAsia="en-US"/>
        </w:rPr>
        <w:t xml:space="preserve">Der </w:t>
      </w:r>
      <w:r w:rsidR="002403F4" w:rsidRPr="002403F4">
        <w:rPr>
          <w:rFonts w:eastAsia="Arial"/>
          <w:iCs/>
          <w:sz w:val="20"/>
          <w:lang w:eastAsia="en-US"/>
        </w:rPr>
        <w:t xml:space="preserve">Senat </w:t>
      </w:r>
      <w:r>
        <w:rPr>
          <w:rFonts w:eastAsia="Arial"/>
          <w:iCs/>
          <w:sz w:val="20"/>
          <w:lang w:eastAsia="en-US"/>
        </w:rPr>
        <w:t xml:space="preserve">hat überdies </w:t>
      </w:r>
      <w:r w:rsidR="002403F4" w:rsidRPr="002403F4">
        <w:rPr>
          <w:rFonts w:eastAsia="Arial"/>
          <w:iCs/>
          <w:sz w:val="20"/>
          <w:lang w:eastAsia="en-US"/>
        </w:rPr>
        <w:t>in Ergänzung der zahlreichen Entlastungs- und Unterstützungsmaßnahmen des Bundes mit Beschluss vom 29. November 2022 15 Mio. Euro für einen Härtefallfonds für von Energiesperren bedrohte Haushalte bereitgestellt (</w:t>
      </w:r>
      <w:hyperlink r:id="rId7" w:history="1">
        <w:r w:rsidR="002403F4" w:rsidRPr="002403F4">
          <w:rPr>
            <w:rFonts w:eastAsia="Arial"/>
            <w:iCs/>
            <w:sz w:val="20"/>
            <w:lang w:eastAsia="en-US"/>
          </w:rPr>
          <w:t>https://www.hamburg.de/haertefallfonds/</w:t>
        </w:r>
      </w:hyperlink>
      <w:r w:rsidR="002403F4" w:rsidRPr="002403F4">
        <w:rPr>
          <w:rFonts w:eastAsia="Arial"/>
          <w:iCs/>
          <w:sz w:val="20"/>
          <w:lang w:eastAsia="en-US"/>
        </w:rPr>
        <w:t xml:space="preserve">), der als </w:t>
      </w:r>
      <w:r w:rsidR="007E4588">
        <w:rPr>
          <w:rFonts w:eastAsia="Arial"/>
          <w:iCs/>
          <w:sz w:val="20"/>
          <w:lang w:eastAsia="en-US"/>
        </w:rPr>
        <w:t>U</w:t>
      </w:r>
      <w:r w:rsidR="002403F4" w:rsidRPr="002403F4">
        <w:rPr>
          <w:rFonts w:eastAsia="Arial"/>
          <w:iCs/>
          <w:sz w:val="20"/>
          <w:lang w:eastAsia="en-US"/>
        </w:rPr>
        <w:t>ltima-Ratio-Instrument das in Hamburg bewährte, in der aktuellen Energiekrise nochmals verstärkte Unterstützungsnetzwerk der verschiedenen Beteiligten ergänzt. Die Tatsache, dass die Zahl der Anträge und Bewilligungen aus dem Härtefallfonds gegenwärtig noch überschaubar ist, unterstreicht, dass das Netz aus verschiedensten Maßnahmen in Hamburg sich auch in der aktuellen Krisensituation als tragfähig erweist.</w:t>
      </w:r>
    </w:p>
    <w:p w:rsidR="00C74C59" w:rsidRDefault="00C74C59" w:rsidP="002403F4">
      <w:pPr>
        <w:spacing w:line="240" w:lineRule="auto"/>
        <w:jc w:val="both"/>
        <w:rPr>
          <w:rFonts w:eastAsia="Arial"/>
          <w:iCs/>
          <w:sz w:val="20"/>
          <w:lang w:eastAsia="en-US"/>
        </w:rPr>
      </w:pPr>
    </w:p>
    <w:p w:rsidR="00075324" w:rsidRPr="00075324" w:rsidRDefault="00075324" w:rsidP="00075324">
      <w:pPr>
        <w:spacing w:before="80" w:line="240" w:lineRule="auto"/>
        <w:jc w:val="both"/>
        <w:rPr>
          <w:rFonts w:eastAsia="Arial"/>
          <w:iCs/>
          <w:sz w:val="20"/>
          <w:lang w:eastAsia="en-US"/>
        </w:rPr>
      </w:pPr>
      <w:r w:rsidRPr="00075324">
        <w:rPr>
          <w:rFonts w:eastAsia="Arial"/>
          <w:iCs/>
          <w:sz w:val="20"/>
          <w:lang w:eastAsia="en-US"/>
        </w:rPr>
        <w:t>Dies vorausgeschickt</w:t>
      </w:r>
      <w:r w:rsidR="0003283E">
        <w:rPr>
          <w:rFonts w:eastAsia="Arial"/>
          <w:iCs/>
          <w:sz w:val="20"/>
          <w:lang w:eastAsia="en-US"/>
        </w:rPr>
        <w:t>,</w:t>
      </w:r>
      <w:r w:rsidRPr="00075324">
        <w:rPr>
          <w:rFonts w:eastAsia="Arial"/>
          <w:iCs/>
          <w:sz w:val="20"/>
          <w:lang w:eastAsia="en-US"/>
        </w:rPr>
        <w:t xml:space="preserve"> beantwortet der Senat die Fragen teilweise auf der Grundlage von Auskünften der Stromnetz Hamburg</w:t>
      </w:r>
      <w:r>
        <w:rPr>
          <w:rFonts w:eastAsia="Arial"/>
          <w:iCs/>
          <w:sz w:val="20"/>
          <w:lang w:eastAsia="en-US"/>
        </w:rPr>
        <w:t xml:space="preserve"> GmbH</w:t>
      </w:r>
      <w:r w:rsidR="001E436D">
        <w:rPr>
          <w:rFonts w:eastAsia="Arial"/>
          <w:iCs/>
          <w:sz w:val="20"/>
          <w:lang w:eastAsia="en-US"/>
        </w:rPr>
        <w:t xml:space="preserve"> (SNH)</w:t>
      </w:r>
      <w:r w:rsidRPr="00075324">
        <w:rPr>
          <w:rFonts w:eastAsia="Arial"/>
          <w:iCs/>
          <w:sz w:val="20"/>
          <w:lang w:eastAsia="en-US"/>
        </w:rPr>
        <w:t xml:space="preserve">, </w:t>
      </w:r>
      <w:r w:rsidR="0003283E">
        <w:rPr>
          <w:rFonts w:eastAsia="Arial"/>
          <w:iCs/>
          <w:sz w:val="20"/>
          <w:lang w:eastAsia="en-US"/>
        </w:rPr>
        <w:t xml:space="preserve">der </w:t>
      </w:r>
      <w:r>
        <w:rPr>
          <w:rFonts w:eastAsia="Arial"/>
          <w:iCs/>
          <w:sz w:val="20"/>
          <w:lang w:eastAsia="en-US"/>
        </w:rPr>
        <w:t>HEnW</w:t>
      </w:r>
      <w:r w:rsidRPr="00075324">
        <w:rPr>
          <w:rFonts w:eastAsia="Arial"/>
          <w:iCs/>
          <w:sz w:val="20"/>
          <w:lang w:eastAsia="en-US"/>
        </w:rPr>
        <w:t xml:space="preserve">, </w:t>
      </w:r>
      <w:r w:rsidR="0003283E">
        <w:rPr>
          <w:rFonts w:eastAsia="Arial"/>
          <w:iCs/>
          <w:sz w:val="20"/>
          <w:lang w:eastAsia="en-US"/>
        </w:rPr>
        <w:t xml:space="preserve">der </w:t>
      </w:r>
      <w:r w:rsidRPr="00075324">
        <w:rPr>
          <w:rFonts w:eastAsia="Arial"/>
          <w:iCs/>
          <w:sz w:val="20"/>
          <w:lang w:eastAsia="en-US"/>
        </w:rPr>
        <w:t>Gasnetz Hamburg</w:t>
      </w:r>
      <w:r>
        <w:rPr>
          <w:rFonts w:eastAsia="Arial"/>
          <w:iCs/>
          <w:sz w:val="20"/>
          <w:lang w:eastAsia="en-US"/>
        </w:rPr>
        <w:t xml:space="preserve"> GmbH</w:t>
      </w:r>
      <w:r w:rsidR="001E436D">
        <w:rPr>
          <w:rFonts w:eastAsia="Arial"/>
          <w:iCs/>
          <w:sz w:val="20"/>
          <w:lang w:eastAsia="en-US"/>
        </w:rPr>
        <w:t xml:space="preserve"> (GNH)</w:t>
      </w:r>
      <w:r w:rsidRPr="00075324">
        <w:rPr>
          <w:rFonts w:eastAsia="Arial"/>
          <w:iCs/>
          <w:sz w:val="20"/>
          <w:lang w:eastAsia="en-US"/>
        </w:rPr>
        <w:t xml:space="preserve">, </w:t>
      </w:r>
      <w:r w:rsidR="0003283E">
        <w:rPr>
          <w:rFonts w:eastAsia="Arial"/>
          <w:iCs/>
          <w:sz w:val="20"/>
          <w:lang w:eastAsia="en-US"/>
        </w:rPr>
        <w:t xml:space="preserve">von </w:t>
      </w:r>
      <w:r>
        <w:rPr>
          <w:rFonts w:eastAsia="Arial"/>
          <w:iCs/>
          <w:sz w:val="20"/>
          <w:lang w:eastAsia="en-US"/>
        </w:rPr>
        <w:t>HAMBURG WASSER</w:t>
      </w:r>
      <w:r w:rsidRPr="00075324">
        <w:rPr>
          <w:rFonts w:eastAsia="Arial"/>
          <w:iCs/>
          <w:sz w:val="20"/>
          <w:lang w:eastAsia="en-US"/>
        </w:rPr>
        <w:t xml:space="preserve"> </w:t>
      </w:r>
      <w:r w:rsidR="001E436D">
        <w:rPr>
          <w:rFonts w:eastAsia="Arial"/>
          <w:iCs/>
          <w:sz w:val="20"/>
          <w:lang w:eastAsia="en-US"/>
        </w:rPr>
        <w:t xml:space="preserve">(HW) </w:t>
      </w:r>
      <w:r w:rsidRPr="00075324">
        <w:rPr>
          <w:rFonts w:eastAsia="Arial"/>
          <w:iCs/>
          <w:sz w:val="20"/>
          <w:lang w:eastAsia="en-US"/>
        </w:rPr>
        <w:t xml:space="preserve">und </w:t>
      </w:r>
      <w:r w:rsidR="0003283E">
        <w:rPr>
          <w:rFonts w:eastAsia="Arial"/>
          <w:iCs/>
          <w:sz w:val="20"/>
          <w:lang w:eastAsia="en-US"/>
        </w:rPr>
        <w:t xml:space="preserve">der </w:t>
      </w:r>
      <w:r w:rsidRPr="00075324">
        <w:rPr>
          <w:rFonts w:eastAsia="Arial"/>
          <w:iCs/>
          <w:sz w:val="20"/>
          <w:lang w:eastAsia="en-US"/>
        </w:rPr>
        <w:t>Vattenfall Europe Sales wie folgt:</w:t>
      </w:r>
    </w:p>
    <w:p w:rsidR="0067649B" w:rsidRDefault="0067649B" w:rsidP="0067649B">
      <w:pPr>
        <w:pStyle w:val="Listenabsatz"/>
      </w:pPr>
    </w:p>
    <w:p w:rsidR="00934E5F" w:rsidRDefault="00934E5F" w:rsidP="00934E5F">
      <w:pPr>
        <w:pStyle w:val="Frage-Nummerierung1"/>
        <w:spacing w:before="0"/>
        <w:ind w:left="1701" w:hanging="1701"/>
      </w:pPr>
      <w:r>
        <w:t>Wie vielen Privathaushalten in Hamburg wurde im 3. und 4. Quartal 2022 die Stromversorgung gesperrt? Bitte quartalsweise angeben.</w:t>
      </w:r>
    </w:p>
    <w:p w:rsidR="00075324" w:rsidRDefault="00075324" w:rsidP="00075324">
      <w:pPr>
        <w:pStyle w:val="Frage-Nummerierung1"/>
        <w:numPr>
          <w:ilvl w:val="0"/>
          <w:numId w:val="0"/>
        </w:numPr>
        <w:spacing w:before="0"/>
        <w:ind w:left="1588" w:hanging="1588"/>
      </w:pPr>
    </w:p>
    <w:p w:rsidR="00075324" w:rsidRPr="00075324" w:rsidRDefault="00075324" w:rsidP="00075324">
      <w:pPr>
        <w:spacing w:line="240" w:lineRule="auto"/>
        <w:jc w:val="both"/>
        <w:outlineLvl w:val="2"/>
        <w:rPr>
          <w:rFonts w:eastAsia="Arial"/>
          <w:sz w:val="20"/>
          <w:lang w:eastAsia="en-US"/>
        </w:rPr>
      </w:pPr>
      <w:bookmarkStart w:id="1" w:name="_Hlk125725372"/>
      <w:r w:rsidRPr="00075324">
        <w:rPr>
          <w:rFonts w:eastAsia="Arial"/>
          <w:sz w:val="20"/>
          <w:lang w:eastAsia="en-US"/>
        </w:rPr>
        <w:t xml:space="preserve">Stromsperrungen bei </w:t>
      </w:r>
      <w:r w:rsidR="0003283E">
        <w:rPr>
          <w:rFonts w:eastAsia="Arial"/>
          <w:sz w:val="20"/>
          <w:lang w:eastAsia="en-US"/>
        </w:rPr>
        <w:t xml:space="preserve">Kundinnen und Kunden mit </w:t>
      </w:r>
      <w:bookmarkStart w:id="2" w:name="_Hlk126225443"/>
      <w:r w:rsidR="0003283E">
        <w:rPr>
          <w:rFonts w:eastAsia="Arial"/>
          <w:sz w:val="20"/>
          <w:lang w:eastAsia="en-US"/>
        </w:rPr>
        <w:t>Standardl</w:t>
      </w:r>
      <w:r w:rsidR="00C1772F">
        <w:rPr>
          <w:rFonts w:eastAsia="Arial"/>
          <w:sz w:val="20"/>
          <w:lang w:eastAsia="en-US"/>
        </w:rPr>
        <w:t>ast</w:t>
      </w:r>
      <w:r w:rsidR="0003283E">
        <w:rPr>
          <w:rFonts w:eastAsia="Arial"/>
          <w:sz w:val="20"/>
          <w:lang w:eastAsia="en-US"/>
        </w:rPr>
        <w:t>profil</w:t>
      </w:r>
      <w:bookmarkEnd w:id="2"/>
      <w:r w:rsidR="0003283E">
        <w:rPr>
          <w:rFonts w:eastAsia="Arial"/>
          <w:sz w:val="20"/>
          <w:lang w:eastAsia="en-US"/>
        </w:rPr>
        <w:t xml:space="preserve"> (</w:t>
      </w:r>
      <w:r w:rsidRPr="00075324">
        <w:rPr>
          <w:rFonts w:eastAsia="Arial"/>
          <w:sz w:val="20"/>
          <w:lang w:eastAsia="en-US"/>
        </w:rPr>
        <w:t>SLP-Kundinnen/</w:t>
      </w:r>
      <w:r>
        <w:rPr>
          <w:rFonts w:eastAsia="Arial"/>
          <w:sz w:val="20"/>
          <w:lang w:eastAsia="en-US"/>
        </w:rPr>
        <w:t>-</w:t>
      </w:r>
      <w:r w:rsidRPr="00075324">
        <w:rPr>
          <w:rFonts w:eastAsia="Arial"/>
          <w:sz w:val="20"/>
          <w:lang w:eastAsia="en-US"/>
        </w:rPr>
        <w:t>Kunden</w:t>
      </w:r>
      <w:r w:rsidR="0003283E">
        <w:rPr>
          <w:rFonts w:eastAsia="Arial"/>
          <w:sz w:val="20"/>
          <w:lang w:eastAsia="en-US"/>
        </w:rPr>
        <w:t>)</w:t>
      </w:r>
      <w:r>
        <w:rPr>
          <w:rFonts w:eastAsia="Arial"/>
          <w:sz w:val="20"/>
          <w:vertAlign w:val="superscript"/>
          <w:lang w:eastAsia="en-US"/>
        </w:rPr>
        <w:t xml:space="preserve"> </w:t>
      </w:r>
      <w:r w:rsidRPr="00075324">
        <w:rPr>
          <w:rFonts w:eastAsia="Arial"/>
          <w:sz w:val="20"/>
          <w:lang w:eastAsia="en-US"/>
        </w:rPr>
        <w:t>im Auftrag der Stromlieferanten:</w:t>
      </w:r>
    </w:p>
    <w:p w:rsidR="00075324" w:rsidRPr="00075324" w:rsidRDefault="00075324" w:rsidP="00075324">
      <w:pPr>
        <w:spacing w:line="240" w:lineRule="auto"/>
        <w:ind w:left="1560"/>
        <w:jc w:val="both"/>
        <w:outlineLvl w:val="2"/>
        <w:rPr>
          <w:rFonts w:eastAsia="Arial"/>
          <w:sz w:val="20"/>
          <w:lang w:eastAsia="en-US"/>
        </w:rPr>
      </w:pPr>
    </w:p>
    <w:tbl>
      <w:tblPr>
        <w:tblStyle w:val="Tabellenraster1"/>
        <w:tblW w:w="1391" w:type="pct"/>
        <w:tblInd w:w="137" w:type="dxa"/>
        <w:tblCellMar>
          <w:top w:w="85" w:type="dxa"/>
          <w:bottom w:w="85" w:type="dxa"/>
        </w:tblCellMar>
        <w:tblLook w:val="04A0" w:firstRow="1" w:lastRow="0" w:firstColumn="1" w:lastColumn="0" w:noHBand="0" w:noVBand="1"/>
      </w:tblPr>
      <w:tblGrid>
        <w:gridCol w:w="1512"/>
        <w:gridCol w:w="1009"/>
      </w:tblGrid>
      <w:tr w:rsidR="00075324" w:rsidRPr="00075324" w:rsidTr="003F234C">
        <w:trPr>
          <w:trHeight w:val="202"/>
        </w:trPr>
        <w:tc>
          <w:tcPr>
            <w:tcW w:w="2999" w:type="pct"/>
          </w:tcPr>
          <w:p w:rsidR="00075324" w:rsidRPr="00075324" w:rsidRDefault="00075324" w:rsidP="00934B87">
            <w:pPr>
              <w:spacing w:line="240" w:lineRule="auto"/>
              <w:jc w:val="both"/>
              <w:outlineLvl w:val="2"/>
              <w:rPr>
                <w:sz w:val="20"/>
              </w:rPr>
            </w:pPr>
            <w:r w:rsidRPr="00075324">
              <w:rPr>
                <w:sz w:val="20"/>
              </w:rPr>
              <w:t>Q3/2022</w:t>
            </w:r>
          </w:p>
        </w:tc>
        <w:tc>
          <w:tcPr>
            <w:tcW w:w="2001" w:type="pct"/>
            <w:vAlign w:val="center"/>
          </w:tcPr>
          <w:p w:rsidR="00075324" w:rsidRPr="00075324" w:rsidRDefault="00075324" w:rsidP="00934B87">
            <w:pPr>
              <w:spacing w:line="240" w:lineRule="auto"/>
              <w:jc w:val="center"/>
              <w:outlineLvl w:val="2"/>
              <w:rPr>
                <w:sz w:val="20"/>
              </w:rPr>
            </w:pPr>
            <w:r w:rsidRPr="00075324">
              <w:rPr>
                <w:sz w:val="20"/>
              </w:rPr>
              <w:t>1</w:t>
            </w:r>
            <w:r w:rsidR="00651A02">
              <w:rPr>
                <w:sz w:val="20"/>
              </w:rPr>
              <w:t>.</w:t>
            </w:r>
            <w:r w:rsidRPr="00075324">
              <w:rPr>
                <w:sz w:val="20"/>
              </w:rPr>
              <w:t>418</w:t>
            </w:r>
          </w:p>
        </w:tc>
      </w:tr>
      <w:tr w:rsidR="00075324" w:rsidRPr="00075324" w:rsidTr="00934B87">
        <w:tc>
          <w:tcPr>
            <w:tcW w:w="2999" w:type="pct"/>
          </w:tcPr>
          <w:p w:rsidR="00075324" w:rsidRPr="00075324" w:rsidRDefault="00075324" w:rsidP="00934B87">
            <w:pPr>
              <w:spacing w:line="240" w:lineRule="auto"/>
              <w:jc w:val="both"/>
              <w:outlineLvl w:val="2"/>
              <w:rPr>
                <w:sz w:val="20"/>
              </w:rPr>
            </w:pPr>
            <w:r w:rsidRPr="00075324">
              <w:rPr>
                <w:sz w:val="20"/>
              </w:rPr>
              <w:t>Q4/2022</w:t>
            </w:r>
          </w:p>
        </w:tc>
        <w:tc>
          <w:tcPr>
            <w:tcW w:w="2001" w:type="pct"/>
            <w:vAlign w:val="center"/>
          </w:tcPr>
          <w:p w:rsidR="00075324" w:rsidRPr="00075324" w:rsidRDefault="00075324" w:rsidP="00934B87">
            <w:pPr>
              <w:spacing w:line="240" w:lineRule="auto"/>
              <w:jc w:val="center"/>
              <w:outlineLvl w:val="2"/>
              <w:rPr>
                <w:sz w:val="20"/>
              </w:rPr>
            </w:pPr>
            <w:r w:rsidRPr="00075324">
              <w:rPr>
                <w:sz w:val="20"/>
              </w:rPr>
              <w:t>1</w:t>
            </w:r>
            <w:r w:rsidR="00651A02">
              <w:rPr>
                <w:sz w:val="20"/>
              </w:rPr>
              <w:t>.</w:t>
            </w:r>
            <w:r w:rsidRPr="00075324">
              <w:rPr>
                <w:sz w:val="20"/>
              </w:rPr>
              <w:t>023</w:t>
            </w:r>
          </w:p>
        </w:tc>
      </w:tr>
    </w:tbl>
    <w:p w:rsidR="00075324" w:rsidRPr="00075324" w:rsidRDefault="00075324" w:rsidP="00075324">
      <w:pPr>
        <w:spacing w:before="120" w:line="240" w:lineRule="auto"/>
        <w:jc w:val="both"/>
        <w:outlineLvl w:val="2"/>
        <w:rPr>
          <w:rFonts w:eastAsia="Arial"/>
          <w:sz w:val="20"/>
          <w:lang w:eastAsia="en-US"/>
        </w:rPr>
      </w:pPr>
      <w:r w:rsidRPr="00075324">
        <w:rPr>
          <w:rFonts w:eastAsia="Arial"/>
          <w:sz w:val="20"/>
          <w:lang w:eastAsia="en-US"/>
        </w:rPr>
        <w:t>Bei SLP-Kundinnen/</w:t>
      </w:r>
      <w:r>
        <w:rPr>
          <w:rFonts w:eastAsia="Arial"/>
          <w:sz w:val="20"/>
          <w:lang w:eastAsia="en-US"/>
        </w:rPr>
        <w:t>-</w:t>
      </w:r>
      <w:r w:rsidRPr="00075324">
        <w:rPr>
          <w:rFonts w:eastAsia="Arial"/>
          <w:sz w:val="20"/>
          <w:lang w:eastAsia="en-US"/>
        </w:rPr>
        <w:t>Kunden handelt es sich um Kundinnen/Kunden mit einem Jahresverbrauch von unter 100.000 kWh. Eine Unterscheidung nach Privathaushalten kann vom Stromnetzbetreiber nicht vorgenommen werden.</w:t>
      </w:r>
    </w:p>
    <w:bookmarkEnd w:id="1"/>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Wie viele Mahnverfahren wegen nicht bezahlter Stromrechnungen haben der auch als Grundversorger fungierende Konzern Vattenfall beziehungsweise Hamburg Energie jeweils im 3. und 4. Quartal 2022 eingeleitet? Bitte analog zu Drs. 21/18665 jeweils quartalsweise benennen.</w:t>
      </w:r>
    </w:p>
    <w:p w:rsidR="00075324" w:rsidRPr="00785082" w:rsidRDefault="00785082" w:rsidP="00785082">
      <w:pPr>
        <w:spacing w:before="240" w:line="312" w:lineRule="auto"/>
        <w:outlineLvl w:val="2"/>
        <w:rPr>
          <w:sz w:val="20"/>
        </w:rPr>
      </w:pPr>
      <w:r w:rsidRPr="00785082">
        <w:rPr>
          <w:sz w:val="20"/>
        </w:rPr>
        <w:t>Die eingeleiteten Mahnverfahren sind folgender Übersicht zu entnehmen:</w:t>
      </w:r>
    </w:p>
    <w:p w:rsidR="00651A02" w:rsidRDefault="00651A02" w:rsidP="00075324">
      <w:pPr>
        <w:pStyle w:val="Frage-Nummerierung1"/>
        <w:numPr>
          <w:ilvl w:val="0"/>
          <w:numId w:val="0"/>
        </w:numPr>
        <w:spacing w:before="0"/>
        <w:ind w:left="1588" w:hanging="1588"/>
        <w:rPr>
          <w:i w:val="0"/>
        </w:rPr>
      </w:pPr>
    </w:p>
    <w:tbl>
      <w:tblPr>
        <w:tblStyle w:val="Tabellenraster"/>
        <w:tblW w:w="0" w:type="auto"/>
        <w:tblInd w:w="-5" w:type="dxa"/>
        <w:tblLook w:val="04A0" w:firstRow="1" w:lastRow="0" w:firstColumn="1" w:lastColumn="0" w:noHBand="0" w:noVBand="1"/>
      </w:tblPr>
      <w:tblGrid>
        <w:gridCol w:w="2792"/>
        <w:gridCol w:w="2776"/>
        <w:gridCol w:w="2773"/>
      </w:tblGrid>
      <w:tr w:rsidR="00FE4E95" w:rsidTr="00934B87">
        <w:tc>
          <w:tcPr>
            <w:tcW w:w="2792" w:type="dxa"/>
          </w:tcPr>
          <w:p w:rsidR="00FE4E95" w:rsidRPr="00FE4E95" w:rsidRDefault="00FE4E95" w:rsidP="00934B87">
            <w:pPr>
              <w:pStyle w:val="Listenabsatz"/>
              <w:spacing w:after="0" w:line="240" w:lineRule="auto"/>
              <w:ind w:left="0"/>
              <w:jc w:val="center"/>
              <w:rPr>
                <w:rFonts w:ascii="Arial" w:hAnsi="Arial" w:cs="Arial"/>
                <w:sz w:val="20"/>
                <w:szCs w:val="20"/>
              </w:rPr>
            </w:pPr>
          </w:p>
        </w:tc>
        <w:tc>
          <w:tcPr>
            <w:tcW w:w="2776" w:type="dxa"/>
          </w:tcPr>
          <w:p w:rsidR="00FE4E95" w:rsidRPr="00FE4E95" w:rsidRDefault="00785082" w:rsidP="00934B87">
            <w:pPr>
              <w:pStyle w:val="Listenabsatz"/>
              <w:spacing w:after="0" w:line="240" w:lineRule="auto"/>
              <w:ind w:left="0"/>
              <w:jc w:val="center"/>
              <w:rPr>
                <w:rFonts w:ascii="Arial" w:hAnsi="Arial" w:cs="Arial"/>
                <w:sz w:val="20"/>
                <w:szCs w:val="20"/>
              </w:rPr>
            </w:pPr>
            <w:r>
              <w:rPr>
                <w:rFonts w:ascii="Arial" w:eastAsia="Arial" w:hAnsi="Arial" w:cs="Arial"/>
                <w:sz w:val="20"/>
              </w:rPr>
              <w:t xml:space="preserve">Mahnverfahren </w:t>
            </w:r>
            <w:r w:rsidR="00FE4E95" w:rsidRPr="00FE4E95">
              <w:rPr>
                <w:rFonts w:ascii="Arial" w:eastAsia="Arial" w:hAnsi="Arial" w:cs="Arial"/>
                <w:sz w:val="20"/>
              </w:rPr>
              <w:t>Vattenfall</w:t>
            </w:r>
          </w:p>
        </w:tc>
        <w:tc>
          <w:tcPr>
            <w:tcW w:w="2773" w:type="dxa"/>
          </w:tcPr>
          <w:p w:rsidR="00FE4E95" w:rsidRPr="00FE4E95" w:rsidRDefault="00785082" w:rsidP="00934B87">
            <w:pPr>
              <w:pStyle w:val="Listenabsatz"/>
              <w:spacing w:after="0" w:line="240" w:lineRule="auto"/>
              <w:ind w:left="0"/>
              <w:jc w:val="center"/>
              <w:rPr>
                <w:rFonts w:ascii="Arial" w:hAnsi="Arial" w:cs="Arial"/>
                <w:sz w:val="20"/>
                <w:szCs w:val="20"/>
              </w:rPr>
            </w:pPr>
            <w:r>
              <w:rPr>
                <w:rFonts w:ascii="Arial" w:eastAsia="Arial" w:hAnsi="Arial" w:cs="Arial"/>
                <w:iCs/>
                <w:sz w:val="20"/>
              </w:rPr>
              <w:t xml:space="preserve">Mahnverfahren </w:t>
            </w:r>
            <w:r w:rsidR="00FE4E95" w:rsidRPr="00FE4E95">
              <w:rPr>
                <w:rFonts w:ascii="Arial" w:eastAsia="Arial" w:hAnsi="Arial" w:cs="Arial"/>
                <w:iCs/>
                <w:sz w:val="20"/>
              </w:rPr>
              <w:t>HEnW</w:t>
            </w:r>
          </w:p>
        </w:tc>
      </w:tr>
      <w:tr w:rsidR="00FE4E95" w:rsidTr="00934B87">
        <w:tc>
          <w:tcPr>
            <w:tcW w:w="2792" w:type="dxa"/>
          </w:tcPr>
          <w:p w:rsidR="00FE4E95" w:rsidRPr="00FE4E95" w:rsidRDefault="00FE4E95" w:rsidP="00934B87">
            <w:pPr>
              <w:pStyle w:val="Listenabsatz"/>
              <w:spacing w:after="0" w:line="240" w:lineRule="auto"/>
              <w:ind w:left="0"/>
              <w:jc w:val="center"/>
              <w:rPr>
                <w:rFonts w:ascii="Arial" w:hAnsi="Arial" w:cs="Arial"/>
                <w:sz w:val="20"/>
                <w:szCs w:val="20"/>
              </w:rPr>
            </w:pPr>
            <w:r w:rsidRPr="00FE4E95">
              <w:rPr>
                <w:rFonts w:ascii="Arial" w:eastAsia="Arial" w:hAnsi="Arial" w:cs="Arial"/>
                <w:sz w:val="20"/>
                <w:szCs w:val="20"/>
              </w:rPr>
              <w:t>Anzahl Q3.2022</w:t>
            </w:r>
          </w:p>
        </w:tc>
        <w:tc>
          <w:tcPr>
            <w:tcW w:w="2776" w:type="dxa"/>
          </w:tcPr>
          <w:p w:rsidR="00FE4E95" w:rsidRPr="00FE4E95" w:rsidRDefault="00FE4E95" w:rsidP="00934B87">
            <w:pPr>
              <w:pStyle w:val="Listenabsatz"/>
              <w:spacing w:after="0" w:line="240" w:lineRule="auto"/>
              <w:ind w:left="0"/>
              <w:jc w:val="center"/>
              <w:rPr>
                <w:rFonts w:ascii="Arial" w:hAnsi="Arial" w:cs="Arial"/>
                <w:sz w:val="20"/>
                <w:szCs w:val="20"/>
              </w:rPr>
            </w:pPr>
            <w:r w:rsidRPr="00FE4E95">
              <w:rPr>
                <w:rFonts w:ascii="Arial" w:eastAsia="Arial" w:hAnsi="Arial" w:cs="Arial"/>
                <w:sz w:val="20"/>
              </w:rPr>
              <w:t>51.144</w:t>
            </w:r>
          </w:p>
        </w:tc>
        <w:tc>
          <w:tcPr>
            <w:tcW w:w="2773" w:type="dxa"/>
          </w:tcPr>
          <w:p w:rsidR="00FE4E95" w:rsidRPr="00FE4E95" w:rsidRDefault="00FE4E95" w:rsidP="00934B87">
            <w:pPr>
              <w:pStyle w:val="Listenabsatz"/>
              <w:spacing w:after="0" w:line="240" w:lineRule="auto"/>
              <w:ind w:left="0"/>
              <w:jc w:val="center"/>
              <w:rPr>
                <w:rFonts w:ascii="Arial" w:hAnsi="Arial" w:cs="Arial"/>
                <w:sz w:val="20"/>
                <w:szCs w:val="20"/>
              </w:rPr>
            </w:pPr>
            <w:r w:rsidRPr="00FE4E95">
              <w:rPr>
                <w:rFonts w:ascii="Arial" w:eastAsia="Arial" w:hAnsi="Arial" w:cs="Arial"/>
                <w:iCs/>
                <w:sz w:val="20"/>
              </w:rPr>
              <w:t>9.541</w:t>
            </w:r>
          </w:p>
        </w:tc>
      </w:tr>
      <w:tr w:rsidR="00FE4E95" w:rsidTr="00934B87">
        <w:tc>
          <w:tcPr>
            <w:tcW w:w="2792" w:type="dxa"/>
          </w:tcPr>
          <w:p w:rsidR="00FE4E95" w:rsidRPr="00FE4E95" w:rsidRDefault="00FE4E95" w:rsidP="00934B87">
            <w:pPr>
              <w:pStyle w:val="Listenabsatz"/>
              <w:spacing w:after="0" w:line="240" w:lineRule="auto"/>
              <w:ind w:left="0"/>
              <w:jc w:val="center"/>
              <w:rPr>
                <w:rFonts w:ascii="Arial" w:hAnsi="Arial" w:cs="Arial"/>
                <w:sz w:val="20"/>
                <w:szCs w:val="20"/>
              </w:rPr>
            </w:pPr>
            <w:r w:rsidRPr="00FE4E95">
              <w:rPr>
                <w:rFonts w:ascii="Arial" w:eastAsia="Arial" w:hAnsi="Arial" w:cs="Arial"/>
                <w:sz w:val="20"/>
              </w:rPr>
              <w:t>Anzahl Q4.2022</w:t>
            </w:r>
          </w:p>
        </w:tc>
        <w:tc>
          <w:tcPr>
            <w:tcW w:w="2776" w:type="dxa"/>
          </w:tcPr>
          <w:p w:rsidR="00FE4E95" w:rsidRPr="00FE4E95" w:rsidRDefault="00FE4E95" w:rsidP="00934B87">
            <w:pPr>
              <w:pStyle w:val="Listenabsatz"/>
              <w:spacing w:after="0" w:line="240" w:lineRule="auto"/>
              <w:ind w:left="0"/>
              <w:jc w:val="center"/>
              <w:rPr>
                <w:rFonts w:ascii="Arial" w:hAnsi="Arial" w:cs="Arial"/>
                <w:sz w:val="20"/>
                <w:szCs w:val="20"/>
              </w:rPr>
            </w:pPr>
            <w:r w:rsidRPr="00FE4E95">
              <w:rPr>
                <w:rFonts w:ascii="Arial" w:eastAsia="Arial" w:hAnsi="Arial" w:cs="Arial"/>
                <w:sz w:val="20"/>
              </w:rPr>
              <w:t>51.565</w:t>
            </w:r>
          </w:p>
        </w:tc>
        <w:tc>
          <w:tcPr>
            <w:tcW w:w="2773" w:type="dxa"/>
          </w:tcPr>
          <w:p w:rsidR="00FE4E95" w:rsidRPr="00FE4E95" w:rsidRDefault="00FE4E95" w:rsidP="00934B87">
            <w:pPr>
              <w:pStyle w:val="Listenabsatz"/>
              <w:spacing w:after="0" w:line="240" w:lineRule="auto"/>
              <w:ind w:left="0"/>
              <w:jc w:val="center"/>
              <w:rPr>
                <w:rFonts w:ascii="Arial" w:hAnsi="Arial" w:cs="Arial"/>
                <w:sz w:val="20"/>
                <w:szCs w:val="20"/>
              </w:rPr>
            </w:pPr>
            <w:r w:rsidRPr="00FE4E95">
              <w:rPr>
                <w:rFonts w:ascii="Arial" w:eastAsia="Arial" w:hAnsi="Arial" w:cs="Arial"/>
                <w:iCs/>
                <w:sz w:val="20"/>
              </w:rPr>
              <w:t>4.779</w:t>
            </w:r>
          </w:p>
        </w:tc>
      </w:tr>
    </w:tbl>
    <w:p w:rsidR="00785082" w:rsidRPr="00075324" w:rsidRDefault="00785082" w:rsidP="00934B87">
      <w:pPr>
        <w:spacing w:before="240" w:line="240" w:lineRule="auto"/>
        <w:jc w:val="both"/>
        <w:outlineLvl w:val="2"/>
        <w:rPr>
          <w:rFonts w:eastAsia="Arial"/>
          <w:sz w:val="20"/>
          <w:lang w:eastAsia="en-US"/>
        </w:rPr>
      </w:pPr>
      <w:r>
        <w:rPr>
          <w:rFonts w:eastAsia="Arial"/>
          <w:sz w:val="20"/>
          <w:lang w:eastAsia="en-US"/>
        </w:rPr>
        <w:t>Bei den d</w:t>
      </w:r>
      <w:r w:rsidRPr="00075324">
        <w:rPr>
          <w:rFonts w:eastAsia="Arial"/>
          <w:sz w:val="20"/>
          <w:lang w:eastAsia="en-US"/>
        </w:rPr>
        <w:t xml:space="preserve">urch Vattenfall </w:t>
      </w:r>
      <w:r>
        <w:rPr>
          <w:rFonts w:eastAsia="Arial"/>
          <w:sz w:val="20"/>
          <w:lang w:eastAsia="en-US"/>
        </w:rPr>
        <w:t>eingeleiteten</w:t>
      </w:r>
      <w:r w:rsidRPr="00075324">
        <w:rPr>
          <w:rFonts w:eastAsia="Arial"/>
          <w:sz w:val="20"/>
          <w:lang w:eastAsia="en-US"/>
        </w:rPr>
        <w:t xml:space="preserve"> Mahnverfahren handelt</w:t>
      </w:r>
      <w:r>
        <w:rPr>
          <w:rFonts w:eastAsia="Arial"/>
          <w:sz w:val="20"/>
          <w:lang w:eastAsia="en-US"/>
        </w:rPr>
        <w:t xml:space="preserve"> es </w:t>
      </w:r>
      <w:r w:rsidRPr="00075324">
        <w:rPr>
          <w:rFonts w:eastAsia="Arial"/>
          <w:sz w:val="20"/>
          <w:lang w:eastAsia="en-US"/>
        </w:rPr>
        <w:t xml:space="preserve">sich </w:t>
      </w:r>
      <w:r>
        <w:rPr>
          <w:rFonts w:eastAsia="Arial"/>
          <w:sz w:val="20"/>
          <w:lang w:eastAsia="en-US"/>
        </w:rPr>
        <w:t>da</w:t>
      </w:r>
      <w:r w:rsidRPr="00075324">
        <w:rPr>
          <w:rFonts w:eastAsia="Arial"/>
          <w:sz w:val="20"/>
          <w:lang w:eastAsia="en-US"/>
        </w:rPr>
        <w:t>bei um alle eingeleiteten Mahnverfahren im Rahmen der Grundversorgung</w:t>
      </w:r>
      <w:r>
        <w:rPr>
          <w:rFonts w:eastAsia="Arial"/>
          <w:sz w:val="20"/>
          <w:lang w:eastAsia="en-US"/>
        </w:rPr>
        <w:t>, bei den durch die HEnW eingeleiteten</w:t>
      </w:r>
      <w:r w:rsidRPr="00075324">
        <w:rPr>
          <w:rFonts w:eastAsia="Arial"/>
          <w:sz w:val="20"/>
          <w:lang w:eastAsia="en-US"/>
        </w:rPr>
        <w:t xml:space="preserve"> Mahnverfahren</w:t>
      </w:r>
      <w:r>
        <w:rPr>
          <w:rFonts w:eastAsia="Arial"/>
          <w:sz w:val="20"/>
          <w:lang w:eastAsia="en-US"/>
        </w:rPr>
        <w:t xml:space="preserve"> handelt es sich jeweils um die Summe aus erster und zweiter Mahnung.</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Wie vielen Privathaushalten in Hamburg wurde im 3. und 4. Quartal 2022 die Gasversorgung gesperrt? Bitte jeweils quartalsweise benennen.</w:t>
      </w:r>
    </w:p>
    <w:p w:rsidR="00075324" w:rsidRDefault="00075324" w:rsidP="00075324">
      <w:pPr>
        <w:pStyle w:val="Frage-Nummerierung1"/>
        <w:numPr>
          <w:ilvl w:val="0"/>
          <w:numId w:val="0"/>
        </w:numPr>
        <w:spacing w:before="0"/>
        <w:ind w:left="1588" w:hanging="1588"/>
      </w:pPr>
    </w:p>
    <w:p w:rsidR="00075324" w:rsidRPr="00075324" w:rsidRDefault="00075324" w:rsidP="00075324">
      <w:pPr>
        <w:spacing w:line="240" w:lineRule="auto"/>
        <w:jc w:val="both"/>
        <w:outlineLvl w:val="2"/>
        <w:rPr>
          <w:rFonts w:eastAsia="Arial"/>
          <w:sz w:val="20"/>
          <w:lang w:eastAsia="en-US"/>
        </w:rPr>
      </w:pPr>
      <w:r w:rsidRPr="00075324">
        <w:rPr>
          <w:rFonts w:eastAsia="Arial"/>
          <w:sz w:val="20"/>
          <w:lang w:eastAsia="en-US"/>
        </w:rPr>
        <w:t>Gassperrungen bei SLP-Kundinnen/</w:t>
      </w:r>
      <w:r>
        <w:rPr>
          <w:rFonts w:eastAsia="Arial"/>
          <w:sz w:val="20"/>
          <w:lang w:eastAsia="en-US"/>
        </w:rPr>
        <w:t>-</w:t>
      </w:r>
      <w:r w:rsidRPr="00075324">
        <w:rPr>
          <w:rFonts w:eastAsia="Arial"/>
          <w:sz w:val="20"/>
          <w:lang w:eastAsia="en-US"/>
        </w:rPr>
        <w:t>Kunden im Auftrag der Gaslieferanten:</w:t>
      </w:r>
    </w:p>
    <w:p w:rsidR="00075324" w:rsidRPr="00075324" w:rsidRDefault="00075324" w:rsidP="00075324">
      <w:pPr>
        <w:spacing w:line="240" w:lineRule="auto"/>
        <w:jc w:val="both"/>
        <w:outlineLvl w:val="2"/>
        <w:rPr>
          <w:rFonts w:eastAsia="Arial"/>
          <w:sz w:val="20"/>
          <w:lang w:eastAsia="en-US"/>
        </w:rPr>
      </w:pPr>
    </w:p>
    <w:tbl>
      <w:tblPr>
        <w:tblStyle w:val="Tabellenraster2"/>
        <w:tblW w:w="1391" w:type="pct"/>
        <w:tblInd w:w="-5" w:type="dxa"/>
        <w:tblCellMar>
          <w:top w:w="85" w:type="dxa"/>
          <w:bottom w:w="85" w:type="dxa"/>
        </w:tblCellMar>
        <w:tblLook w:val="04A0" w:firstRow="1" w:lastRow="0" w:firstColumn="1" w:lastColumn="0" w:noHBand="0" w:noVBand="1"/>
      </w:tblPr>
      <w:tblGrid>
        <w:gridCol w:w="1512"/>
        <w:gridCol w:w="1009"/>
      </w:tblGrid>
      <w:tr w:rsidR="00075324" w:rsidRPr="00075324" w:rsidTr="00934B87">
        <w:tc>
          <w:tcPr>
            <w:tcW w:w="2999" w:type="pct"/>
          </w:tcPr>
          <w:p w:rsidR="00075324" w:rsidRPr="00075324" w:rsidRDefault="00075324" w:rsidP="00075324">
            <w:pPr>
              <w:spacing w:line="240" w:lineRule="auto"/>
              <w:jc w:val="both"/>
              <w:outlineLvl w:val="2"/>
              <w:rPr>
                <w:sz w:val="20"/>
              </w:rPr>
            </w:pPr>
            <w:r w:rsidRPr="00075324">
              <w:rPr>
                <w:sz w:val="20"/>
              </w:rPr>
              <w:t>Q3/2022</w:t>
            </w:r>
          </w:p>
        </w:tc>
        <w:tc>
          <w:tcPr>
            <w:tcW w:w="2001" w:type="pct"/>
            <w:vAlign w:val="center"/>
          </w:tcPr>
          <w:p w:rsidR="00075324" w:rsidRPr="00075324" w:rsidRDefault="00075324" w:rsidP="00075324">
            <w:pPr>
              <w:spacing w:line="240" w:lineRule="auto"/>
              <w:jc w:val="center"/>
              <w:outlineLvl w:val="2"/>
              <w:rPr>
                <w:sz w:val="20"/>
              </w:rPr>
            </w:pPr>
            <w:r w:rsidRPr="00075324">
              <w:rPr>
                <w:sz w:val="20"/>
              </w:rPr>
              <w:t>1</w:t>
            </w:r>
          </w:p>
        </w:tc>
      </w:tr>
      <w:tr w:rsidR="00075324" w:rsidRPr="00075324" w:rsidTr="00934B87">
        <w:tc>
          <w:tcPr>
            <w:tcW w:w="2999" w:type="pct"/>
          </w:tcPr>
          <w:p w:rsidR="00075324" w:rsidRPr="00075324" w:rsidRDefault="00075324" w:rsidP="00075324">
            <w:pPr>
              <w:spacing w:line="240" w:lineRule="auto"/>
              <w:jc w:val="both"/>
              <w:outlineLvl w:val="2"/>
              <w:rPr>
                <w:sz w:val="20"/>
              </w:rPr>
            </w:pPr>
            <w:r w:rsidRPr="00075324">
              <w:rPr>
                <w:sz w:val="20"/>
              </w:rPr>
              <w:t>Q4/2022</w:t>
            </w:r>
          </w:p>
        </w:tc>
        <w:tc>
          <w:tcPr>
            <w:tcW w:w="2001" w:type="pct"/>
            <w:vAlign w:val="center"/>
          </w:tcPr>
          <w:p w:rsidR="00075324" w:rsidRPr="00075324" w:rsidRDefault="00075324" w:rsidP="00075324">
            <w:pPr>
              <w:spacing w:line="240" w:lineRule="auto"/>
              <w:jc w:val="center"/>
              <w:outlineLvl w:val="2"/>
              <w:rPr>
                <w:sz w:val="20"/>
              </w:rPr>
            </w:pPr>
            <w:r w:rsidRPr="00075324">
              <w:rPr>
                <w:sz w:val="20"/>
              </w:rPr>
              <w:t>2</w:t>
            </w:r>
          </w:p>
        </w:tc>
      </w:tr>
    </w:tbl>
    <w:p w:rsidR="00075324" w:rsidRPr="00075324" w:rsidRDefault="00075324" w:rsidP="00075324">
      <w:pPr>
        <w:spacing w:before="120" w:line="240" w:lineRule="auto"/>
        <w:jc w:val="both"/>
        <w:outlineLvl w:val="2"/>
        <w:rPr>
          <w:rFonts w:eastAsia="Arial"/>
          <w:sz w:val="20"/>
          <w:lang w:eastAsia="en-US"/>
        </w:rPr>
      </w:pPr>
      <w:r w:rsidRPr="00075324">
        <w:rPr>
          <w:rFonts w:eastAsia="Arial"/>
          <w:sz w:val="20"/>
          <w:lang w:eastAsia="en-US"/>
        </w:rPr>
        <w:t>Bei SLP-Kundinnen/</w:t>
      </w:r>
      <w:r>
        <w:rPr>
          <w:rFonts w:eastAsia="Arial"/>
          <w:sz w:val="20"/>
          <w:lang w:eastAsia="en-US"/>
        </w:rPr>
        <w:t>-</w:t>
      </w:r>
      <w:r w:rsidRPr="00075324">
        <w:rPr>
          <w:rFonts w:eastAsia="Arial"/>
          <w:sz w:val="20"/>
          <w:lang w:eastAsia="en-US"/>
        </w:rPr>
        <w:t>Kunden handelt es sich um Kundinnen/Kunden mit einem Jahresverbrauch von unter 1,5 Mio. kWh und 500 kW. Eine Unterscheidung nach Privathaushalten kann vom Gasnetzbetreiber nicht vorgenommen werden.</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Wie vielen Privathaushalten in Hamburg wurde im 3. und 4. Quartal 2022 die Wasserversorgung gesperrt? Bitte jeweils quartalsweise benennen.</w:t>
      </w:r>
    </w:p>
    <w:p w:rsidR="00934E5F" w:rsidRDefault="00934E5F" w:rsidP="00934E5F">
      <w:pPr>
        <w:pStyle w:val="Listenabsatz"/>
      </w:pPr>
    </w:p>
    <w:tbl>
      <w:tblPr>
        <w:tblStyle w:val="Tabellenraster3"/>
        <w:tblW w:w="3770" w:type="pct"/>
        <w:tblInd w:w="-33" w:type="dxa"/>
        <w:tblCellMar>
          <w:top w:w="85" w:type="dxa"/>
          <w:bottom w:w="85" w:type="dxa"/>
        </w:tblCellMar>
        <w:tblLook w:val="04A0" w:firstRow="1" w:lastRow="0" w:firstColumn="1" w:lastColumn="0" w:noHBand="0" w:noVBand="1"/>
      </w:tblPr>
      <w:tblGrid>
        <w:gridCol w:w="3026"/>
        <w:gridCol w:w="1964"/>
        <w:gridCol w:w="1842"/>
      </w:tblGrid>
      <w:tr w:rsidR="00785082" w:rsidRPr="00075324" w:rsidTr="00A5324A">
        <w:trPr>
          <w:trHeight w:val="52"/>
        </w:trPr>
        <w:tc>
          <w:tcPr>
            <w:tcW w:w="2215" w:type="pct"/>
          </w:tcPr>
          <w:p w:rsidR="00785082" w:rsidRPr="00075324" w:rsidRDefault="00785082" w:rsidP="00A5324A">
            <w:pPr>
              <w:spacing w:line="240" w:lineRule="auto"/>
              <w:jc w:val="both"/>
              <w:outlineLvl w:val="2"/>
              <w:rPr>
                <w:rFonts w:cs="Arial"/>
                <w:sz w:val="20"/>
              </w:rPr>
            </w:pPr>
          </w:p>
        </w:tc>
        <w:tc>
          <w:tcPr>
            <w:tcW w:w="1437" w:type="pct"/>
            <w:vAlign w:val="center"/>
          </w:tcPr>
          <w:p w:rsidR="00785082" w:rsidRPr="00075324" w:rsidRDefault="00785082" w:rsidP="00A5324A">
            <w:pPr>
              <w:spacing w:line="240" w:lineRule="auto"/>
              <w:jc w:val="center"/>
              <w:outlineLvl w:val="2"/>
              <w:rPr>
                <w:sz w:val="20"/>
              </w:rPr>
            </w:pPr>
            <w:r w:rsidRPr="00075324">
              <w:rPr>
                <w:sz w:val="20"/>
              </w:rPr>
              <w:t>Q3/2022</w:t>
            </w:r>
          </w:p>
        </w:tc>
        <w:tc>
          <w:tcPr>
            <w:tcW w:w="1348" w:type="pct"/>
          </w:tcPr>
          <w:p w:rsidR="00785082" w:rsidRPr="00075324" w:rsidRDefault="00785082" w:rsidP="00A5324A">
            <w:pPr>
              <w:spacing w:line="240" w:lineRule="auto"/>
              <w:jc w:val="center"/>
              <w:outlineLvl w:val="2"/>
              <w:rPr>
                <w:sz w:val="20"/>
              </w:rPr>
            </w:pPr>
            <w:r w:rsidRPr="00075324">
              <w:rPr>
                <w:sz w:val="20"/>
              </w:rPr>
              <w:t>Q4/2022</w:t>
            </w:r>
          </w:p>
        </w:tc>
      </w:tr>
      <w:tr w:rsidR="00785082" w:rsidRPr="00075324" w:rsidTr="00934B87">
        <w:trPr>
          <w:trHeight w:val="174"/>
        </w:trPr>
        <w:tc>
          <w:tcPr>
            <w:tcW w:w="2215" w:type="pct"/>
          </w:tcPr>
          <w:p w:rsidR="00785082" w:rsidRPr="00075324" w:rsidRDefault="00785082" w:rsidP="00A5324A">
            <w:pPr>
              <w:spacing w:line="240" w:lineRule="auto"/>
              <w:jc w:val="both"/>
              <w:outlineLvl w:val="2"/>
              <w:rPr>
                <w:sz w:val="20"/>
              </w:rPr>
            </w:pPr>
            <w:r w:rsidRPr="00075324">
              <w:rPr>
                <w:rFonts w:cs="Arial"/>
                <w:sz w:val="20"/>
              </w:rPr>
              <w:t>Wohnungssperrungen</w:t>
            </w:r>
          </w:p>
        </w:tc>
        <w:tc>
          <w:tcPr>
            <w:tcW w:w="1437" w:type="pct"/>
            <w:vAlign w:val="center"/>
          </w:tcPr>
          <w:p w:rsidR="00785082" w:rsidRPr="00075324" w:rsidRDefault="00785082" w:rsidP="00A5324A">
            <w:pPr>
              <w:spacing w:line="240" w:lineRule="auto"/>
              <w:jc w:val="center"/>
              <w:outlineLvl w:val="2"/>
              <w:rPr>
                <w:sz w:val="20"/>
              </w:rPr>
            </w:pPr>
            <w:r w:rsidRPr="00075324">
              <w:rPr>
                <w:sz w:val="20"/>
              </w:rPr>
              <w:t>146</w:t>
            </w:r>
          </w:p>
        </w:tc>
        <w:tc>
          <w:tcPr>
            <w:tcW w:w="1348" w:type="pct"/>
          </w:tcPr>
          <w:p w:rsidR="00785082" w:rsidRPr="00075324" w:rsidRDefault="00785082" w:rsidP="00A5324A">
            <w:pPr>
              <w:spacing w:line="240" w:lineRule="auto"/>
              <w:jc w:val="center"/>
              <w:outlineLvl w:val="2"/>
              <w:rPr>
                <w:sz w:val="20"/>
              </w:rPr>
            </w:pPr>
            <w:r>
              <w:rPr>
                <w:sz w:val="20"/>
              </w:rPr>
              <w:t>136</w:t>
            </w:r>
          </w:p>
        </w:tc>
      </w:tr>
      <w:tr w:rsidR="00785082" w:rsidRPr="00075324" w:rsidTr="00785082">
        <w:tc>
          <w:tcPr>
            <w:tcW w:w="2215" w:type="pct"/>
          </w:tcPr>
          <w:p w:rsidR="00785082" w:rsidRPr="00075324" w:rsidRDefault="00785082" w:rsidP="00A5324A">
            <w:pPr>
              <w:spacing w:line="240" w:lineRule="auto"/>
              <w:jc w:val="both"/>
              <w:outlineLvl w:val="2"/>
              <w:rPr>
                <w:sz w:val="20"/>
              </w:rPr>
            </w:pPr>
            <w:r w:rsidRPr="00075324">
              <w:rPr>
                <w:rFonts w:cs="Arial"/>
                <w:sz w:val="20"/>
              </w:rPr>
              <w:t>Grundstückssperrungen</w:t>
            </w:r>
          </w:p>
        </w:tc>
        <w:tc>
          <w:tcPr>
            <w:tcW w:w="1437" w:type="pct"/>
            <w:vAlign w:val="center"/>
          </w:tcPr>
          <w:p w:rsidR="00785082" w:rsidRPr="00075324" w:rsidRDefault="00785082" w:rsidP="00A5324A">
            <w:pPr>
              <w:spacing w:line="240" w:lineRule="auto"/>
              <w:jc w:val="center"/>
              <w:outlineLvl w:val="2"/>
              <w:rPr>
                <w:sz w:val="20"/>
              </w:rPr>
            </w:pPr>
            <w:r w:rsidRPr="00075324">
              <w:rPr>
                <w:sz w:val="20"/>
              </w:rPr>
              <w:t>91</w:t>
            </w:r>
          </w:p>
        </w:tc>
        <w:tc>
          <w:tcPr>
            <w:tcW w:w="1348" w:type="pct"/>
          </w:tcPr>
          <w:p w:rsidR="00785082" w:rsidRPr="00075324" w:rsidRDefault="00785082" w:rsidP="00A5324A">
            <w:pPr>
              <w:spacing w:line="240" w:lineRule="auto"/>
              <w:jc w:val="center"/>
              <w:outlineLvl w:val="2"/>
              <w:rPr>
                <w:sz w:val="20"/>
              </w:rPr>
            </w:pPr>
            <w:r>
              <w:rPr>
                <w:sz w:val="20"/>
              </w:rPr>
              <w:t>55</w:t>
            </w:r>
          </w:p>
        </w:tc>
      </w:tr>
    </w:tbl>
    <w:p w:rsidR="00075324" w:rsidRPr="00075324" w:rsidRDefault="00075324" w:rsidP="00075324">
      <w:pPr>
        <w:spacing w:line="240" w:lineRule="auto"/>
        <w:ind w:left="-28"/>
        <w:rPr>
          <w:rFonts w:eastAsia="Arial" w:cs="Arial"/>
          <w:sz w:val="20"/>
          <w:lang w:eastAsia="en-US"/>
        </w:rPr>
      </w:pPr>
    </w:p>
    <w:p w:rsidR="00075324" w:rsidRPr="00075324" w:rsidRDefault="00075324" w:rsidP="00075324">
      <w:pPr>
        <w:spacing w:line="240" w:lineRule="auto"/>
        <w:ind w:left="-28"/>
        <w:rPr>
          <w:rFonts w:eastAsia="Arial" w:cs="Arial"/>
          <w:sz w:val="20"/>
          <w:lang w:eastAsia="en-US"/>
        </w:rPr>
      </w:pPr>
      <w:r w:rsidRPr="00075324">
        <w:rPr>
          <w:rFonts w:eastAsia="Arial" w:cs="Arial"/>
          <w:sz w:val="20"/>
          <w:lang w:eastAsia="en-US"/>
        </w:rPr>
        <w:t xml:space="preserve">Wie viele Privathaushalte von den Sperrungen betroffen waren, wird </w:t>
      </w:r>
      <w:r w:rsidR="00F73484">
        <w:rPr>
          <w:rFonts w:eastAsia="Arial" w:cs="Arial"/>
          <w:sz w:val="20"/>
          <w:lang w:eastAsia="en-US"/>
        </w:rPr>
        <w:t xml:space="preserve">dabei </w:t>
      </w:r>
      <w:r w:rsidRPr="00075324">
        <w:rPr>
          <w:rFonts w:eastAsia="Arial" w:cs="Arial"/>
          <w:sz w:val="20"/>
          <w:lang w:eastAsia="en-US"/>
        </w:rPr>
        <w:t>statistisch nicht erfasst.</w:t>
      </w:r>
    </w:p>
    <w:p w:rsidR="00934E5F" w:rsidRDefault="00934E5F" w:rsidP="00934E5F">
      <w:pPr>
        <w:pStyle w:val="Frage-Nummerierung1"/>
        <w:numPr>
          <w:ilvl w:val="0"/>
          <w:numId w:val="0"/>
        </w:numPr>
        <w:spacing w:before="0"/>
        <w:ind w:left="1701"/>
      </w:pPr>
    </w:p>
    <w:p w:rsidR="00934E5F" w:rsidRDefault="00934E5F" w:rsidP="00934E5F">
      <w:pPr>
        <w:pStyle w:val="Frage-Nummerierung1"/>
        <w:spacing w:before="0"/>
        <w:ind w:left="1701" w:hanging="1701"/>
      </w:pPr>
      <w:r>
        <w:t>Wie viele Haushalte mit geringem Einkommen haben die Stromsparhelfer der Caritas und die Schuldnerberatungen beziehungsweise andere Organisationen im 3. und 4. Quartal 2022 beraten? Bitte nach Organisationen aufschlüsseln.</w:t>
      </w:r>
    </w:p>
    <w:p w:rsidR="00075324" w:rsidRPr="00FE4E95" w:rsidRDefault="00075324" w:rsidP="00075324">
      <w:pPr>
        <w:spacing w:before="240" w:after="120" w:line="240" w:lineRule="auto"/>
        <w:jc w:val="both"/>
        <w:outlineLvl w:val="2"/>
        <w:rPr>
          <w:rFonts w:eastAsia="Arial"/>
          <w:i/>
          <w:sz w:val="20"/>
          <w:lang w:eastAsia="en-US"/>
        </w:rPr>
      </w:pPr>
      <w:r w:rsidRPr="00FE4E95">
        <w:rPr>
          <w:rFonts w:eastAsia="Arial"/>
          <w:sz w:val="20"/>
          <w:lang w:eastAsia="en-US"/>
        </w:rPr>
        <w:t>Beratungen der Caritas</w:t>
      </w:r>
      <w:r w:rsidRPr="00FE4E95">
        <w:rPr>
          <w:rFonts w:eastAsia="Arial"/>
          <w:i/>
          <w:sz w:val="20"/>
          <w:lang w:eastAsia="en-US"/>
        </w:rPr>
        <w:t>:</w:t>
      </w:r>
    </w:p>
    <w:tbl>
      <w:tblPr>
        <w:tblStyle w:val="Tabellenraster4"/>
        <w:tblpPr w:leftFromText="141" w:rightFromText="141" w:vertAnchor="text" w:horzAnchor="margin" w:tblpY="109"/>
        <w:tblW w:w="1391" w:type="pct"/>
        <w:tblCellMar>
          <w:top w:w="85" w:type="dxa"/>
          <w:bottom w:w="85" w:type="dxa"/>
        </w:tblCellMar>
        <w:tblLook w:val="04A0" w:firstRow="1" w:lastRow="0" w:firstColumn="1" w:lastColumn="0" w:noHBand="0" w:noVBand="1"/>
      </w:tblPr>
      <w:tblGrid>
        <w:gridCol w:w="1512"/>
        <w:gridCol w:w="1009"/>
      </w:tblGrid>
      <w:tr w:rsidR="001468B9" w:rsidRPr="00075324" w:rsidTr="001468B9">
        <w:tc>
          <w:tcPr>
            <w:tcW w:w="2999" w:type="pct"/>
          </w:tcPr>
          <w:p w:rsidR="001468B9" w:rsidRPr="00075324" w:rsidRDefault="001468B9" w:rsidP="001468B9">
            <w:pPr>
              <w:spacing w:line="240" w:lineRule="auto"/>
              <w:outlineLvl w:val="2"/>
              <w:rPr>
                <w:sz w:val="20"/>
              </w:rPr>
            </w:pPr>
            <w:r w:rsidRPr="00075324">
              <w:rPr>
                <w:sz w:val="20"/>
              </w:rPr>
              <w:t>Q3/2022</w:t>
            </w:r>
          </w:p>
        </w:tc>
        <w:tc>
          <w:tcPr>
            <w:tcW w:w="2001" w:type="pct"/>
          </w:tcPr>
          <w:p w:rsidR="001468B9" w:rsidRPr="00075324" w:rsidRDefault="001468B9" w:rsidP="001468B9">
            <w:pPr>
              <w:spacing w:line="240" w:lineRule="auto"/>
              <w:outlineLvl w:val="2"/>
              <w:rPr>
                <w:sz w:val="20"/>
              </w:rPr>
            </w:pPr>
            <w:r w:rsidRPr="00075324">
              <w:rPr>
                <w:sz w:val="20"/>
              </w:rPr>
              <w:t>134</w:t>
            </w:r>
          </w:p>
        </w:tc>
      </w:tr>
      <w:tr w:rsidR="001468B9" w:rsidRPr="00075324" w:rsidTr="001468B9">
        <w:tc>
          <w:tcPr>
            <w:tcW w:w="2999" w:type="pct"/>
          </w:tcPr>
          <w:p w:rsidR="001468B9" w:rsidRPr="00075324" w:rsidRDefault="001468B9" w:rsidP="001468B9">
            <w:pPr>
              <w:spacing w:line="240" w:lineRule="auto"/>
              <w:outlineLvl w:val="2"/>
              <w:rPr>
                <w:sz w:val="20"/>
              </w:rPr>
            </w:pPr>
            <w:r w:rsidRPr="00075324">
              <w:rPr>
                <w:sz w:val="20"/>
              </w:rPr>
              <w:t>Q4/2022</w:t>
            </w:r>
          </w:p>
        </w:tc>
        <w:tc>
          <w:tcPr>
            <w:tcW w:w="2001" w:type="pct"/>
          </w:tcPr>
          <w:p w:rsidR="001468B9" w:rsidRPr="00075324" w:rsidRDefault="001468B9" w:rsidP="001468B9">
            <w:pPr>
              <w:spacing w:line="240" w:lineRule="auto"/>
              <w:outlineLvl w:val="2"/>
              <w:rPr>
                <w:sz w:val="20"/>
              </w:rPr>
            </w:pPr>
            <w:r w:rsidRPr="00075324">
              <w:rPr>
                <w:sz w:val="20"/>
              </w:rPr>
              <w:t>231</w:t>
            </w:r>
          </w:p>
        </w:tc>
      </w:tr>
    </w:tbl>
    <w:p w:rsidR="00075324" w:rsidRPr="00075324" w:rsidRDefault="00075324" w:rsidP="001468B9">
      <w:pPr>
        <w:spacing w:before="240" w:after="120" w:line="240" w:lineRule="auto"/>
        <w:jc w:val="both"/>
        <w:outlineLvl w:val="2"/>
        <w:rPr>
          <w:rFonts w:eastAsia="Arial"/>
          <w:i/>
          <w:sz w:val="20"/>
          <w:lang w:eastAsia="en-US"/>
        </w:rPr>
      </w:pPr>
    </w:p>
    <w:p w:rsidR="00075324" w:rsidRPr="00075324" w:rsidRDefault="00075324" w:rsidP="00075324">
      <w:pPr>
        <w:spacing w:before="240" w:after="120" w:line="240" w:lineRule="auto"/>
        <w:jc w:val="both"/>
        <w:outlineLvl w:val="2"/>
        <w:rPr>
          <w:rFonts w:eastAsia="Arial"/>
          <w:i/>
          <w:sz w:val="20"/>
          <w:lang w:eastAsia="en-US"/>
        </w:rPr>
      </w:pPr>
    </w:p>
    <w:p w:rsidR="00075324" w:rsidRPr="00075324" w:rsidRDefault="00075324" w:rsidP="00075324">
      <w:pPr>
        <w:widowControl w:val="0"/>
        <w:suppressAutoHyphens/>
        <w:spacing w:line="240" w:lineRule="auto"/>
        <w:jc w:val="both"/>
        <w:outlineLvl w:val="2"/>
        <w:rPr>
          <w:rFonts w:cs="Arial"/>
          <w:sz w:val="20"/>
        </w:rPr>
      </w:pPr>
      <w:r w:rsidRPr="00075324">
        <w:rPr>
          <w:rFonts w:cs="Arial"/>
          <w:sz w:val="20"/>
        </w:rPr>
        <w:t>Die öffentlich geförderten Schuldner- und Insolvenzberatungsstellen der FHH</w:t>
      </w:r>
      <w:r w:rsidR="00711F4B">
        <w:rPr>
          <w:rFonts w:cs="Arial"/>
          <w:sz w:val="20"/>
        </w:rPr>
        <w:t xml:space="preserve"> </w:t>
      </w:r>
      <w:r w:rsidRPr="00075324">
        <w:rPr>
          <w:rFonts w:cs="Arial"/>
          <w:sz w:val="20"/>
        </w:rPr>
        <w:t>beraten Ratsuchende, die über ein geringes Einkommen verfügen oder Sozialleistungen beziehen. Eine gesonderte Auswertung in Bezug auf Haushalte wird nicht vorgenommen. Die Auswertung erfolgt quartalsweise. Die Kurz- und Notfallberatung steht allen Hamburgerinnen und Hamburgern offen, unabhängig vom Einkommen.</w:t>
      </w:r>
    </w:p>
    <w:p w:rsidR="00075324" w:rsidRPr="00075324" w:rsidRDefault="00075324" w:rsidP="00075324">
      <w:pPr>
        <w:spacing w:line="240" w:lineRule="auto"/>
        <w:ind w:left="539"/>
        <w:jc w:val="both"/>
        <w:outlineLvl w:val="2"/>
        <w:rPr>
          <w:rFonts w:eastAsia="Arial" w:cs="Arial"/>
          <w:sz w:val="20"/>
          <w:lang w:eastAsia="en-US"/>
        </w:rPr>
      </w:pPr>
    </w:p>
    <w:p w:rsidR="00075324" w:rsidRDefault="00711F4B" w:rsidP="00C1772F">
      <w:pPr>
        <w:spacing w:line="240" w:lineRule="auto"/>
        <w:jc w:val="both"/>
        <w:outlineLvl w:val="2"/>
        <w:rPr>
          <w:rFonts w:cs="Arial"/>
          <w:sz w:val="20"/>
        </w:rPr>
      </w:pPr>
      <w:r>
        <w:rPr>
          <w:rFonts w:eastAsia="Arial" w:cs="Arial"/>
          <w:sz w:val="20"/>
          <w:lang w:eastAsia="en-US"/>
        </w:rPr>
        <w:t xml:space="preserve">Die </w:t>
      </w:r>
      <w:r w:rsidR="00075324" w:rsidRPr="00075324">
        <w:rPr>
          <w:rFonts w:eastAsia="Arial" w:cs="Arial"/>
          <w:sz w:val="20"/>
          <w:lang w:eastAsia="en-US"/>
        </w:rPr>
        <w:t xml:space="preserve">Anzahl </w:t>
      </w:r>
      <w:r w:rsidR="0003283E">
        <w:rPr>
          <w:rFonts w:eastAsia="Arial" w:cs="Arial"/>
          <w:sz w:val="20"/>
          <w:lang w:eastAsia="en-US"/>
        </w:rPr>
        <w:t xml:space="preserve">der </w:t>
      </w:r>
      <w:r w:rsidR="00075324" w:rsidRPr="00075324">
        <w:rPr>
          <w:rFonts w:eastAsia="Arial" w:cs="Arial"/>
          <w:sz w:val="20"/>
          <w:lang w:eastAsia="en-US"/>
        </w:rPr>
        <w:t xml:space="preserve">Beratungsvorgänge </w:t>
      </w:r>
      <w:r w:rsidR="00075324" w:rsidRPr="00075324">
        <w:rPr>
          <w:rFonts w:cs="Arial"/>
          <w:sz w:val="20"/>
        </w:rPr>
        <w:t>öffentlich geförderter Schuldner- und Insolvenzberatungsstellen</w:t>
      </w:r>
      <w:r>
        <w:rPr>
          <w:rFonts w:cs="Arial"/>
          <w:sz w:val="20"/>
        </w:rPr>
        <w:t xml:space="preserve"> </w:t>
      </w:r>
      <w:r w:rsidR="00F73484">
        <w:rPr>
          <w:rFonts w:cs="Arial"/>
          <w:sz w:val="20"/>
        </w:rPr>
        <w:t>sind</w:t>
      </w:r>
      <w:r w:rsidR="0003283E">
        <w:rPr>
          <w:rFonts w:cs="Arial"/>
          <w:sz w:val="20"/>
        </w:rPr>
        <w:t xml:space="preserve"> </w:t>
      </w:r>
      <w:r>
        <w:rPr>
          <w:rFonts w:cs="Arial"/>
          <w:sz w:val="20"/>
        </w:rPr>
        <w:t>nachfolgenden Tabelle</w:t>
      </w:r>
      <w:r w:rsidR="00F73484">
        <w:rPr>
          <w:rFonts w:cs="Arial"/>
          <w:sz w:val="20"/>
        </w:rPr>
        <w:t>n</w:t>
      </w:r>
      <w:r>
        <w:rPr>
          <w:rFonts w:cs="Arial"/>
          <w:sz w:val="20"/>
        </w:rPr>
        <w:t xml:space="preserve"> zu entnehmen:</w:t>
      </w:r>
    </w:p>
    <w:p w:rsidR="00C1772F" w:rsidRDefault="00C1772F" w:rsidP="00C1772F">
      <w:pPr>
        <w:spacing w:line="240" w:lineRule="auto"/>
        <w:jc w:val="both"/>
        <w:outlineLvl w:val="2"/>
        <w:rPr>
          <w:rFonts w:cs="Arial"/>
          <w:sz w:val="20"/>
        </w:rPr>
      </w:pPr>
    </w:p>
    <w:tbl>
      <w:tblPr>
        <w:tblW w:w="9142" w:type="dxa"/>
        <w:tblInd w:w="-75" w:type="dxa"/>
        <w:tblCellMar>
          <w:left w:w="70" w:type="dxa"/>
          <w:right w:w="70" w:type="dxa"/>
        </w:tblCellMar>
        <w:tblLook w:val="04A0" w:firstRow="1" w:lastRow="0" w:firstColumn="1" w:lastColumn="0" w:noHBand="0" w:noVBand="1"/>
      </w:tblPr>
      <w:tblGrid>
        <w:gridCol w:w="3472"/>
        <w:gridCol w:w="1843"/>
        <w:gridCol w:w="1985"/>
        <w:gridCol w:w="1842"/>
      </w:tblGrid>
      <w:tr w:rsidR="00075324" w:rsidRPr="00075324" w:rsidTr="00934B87">
        <w:trPr>
          <w:trHeight w:val="1020"/>
        </w:trPr>
        <w:tc>
          <w:tcPr>
            <w:tcW w:w="347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75324" w:rsidRPr="00075324" w:rsidRDefault="00075324" w:rsidP="00C1772F">
            <w:pPr>
              <w:spacing w:line="240" w:lineRule="auto"/>
              <w:rPr>
                <w:rFonts w:eastAsia="Arial" w:cs="Arial"/>
                <w:color w:val="000000"/>
                <w:sz w:val="20"/>
                <w:lang w:eastAsia="en-US"/>
              </w:rPr>
            </w:pPr>
            <w:r w:rsidRPr="00075324">
              <w:rPr>
                <w:rFonts w:eastAsia="Arial" w:cs="Arial"/>
                <w:color w:val="000000"/>
                <w:sz w:val="20"/>
                <w:lang w:eastAsia="en-US"/>
              </w:rPr>
              <w:t>3. Quartal 2022</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075324" w:rsidRPr="00075324" w:rsidRDefault="00075324" w:rsidP="00C1772F">
            <w:pPr>
              <w:spacing w:line="240" w:lineRule="auto"/>
              <w:jc w:val="center"/>
              <w:rPr>
                <w:rFonts w:eastAsia="Arial" w:cs="Arial"/>
                <w:color w:val="000000"/>
                <w:sz w:val="20"/>
                <w:lang w:eastAsia="en-US"/>
              </w:rPr>
            </w:pPr>
            <w:r w:rsidRPr="00075324">
              <w:rPr>
                <w:rFonts w:eastAsia="Arial" w:cs="Arial"/>
                <w:color w:val="000000"/>
                <w:sz w:val="20"/>
                <w:lang w:eastAsia="en-US"/>
              </w:rPr>
              <w:t>Zugänge in die Schuldner- und Insolvenzberatung</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075324" w:rsidRPr="00075324" w:rsidRDefault="00075324" w:rsidP="00C1772F">
            <w:pPr>
              <w:spacing w:line="240" w:lineRule="auto"/>
              <w:jc w:val="center"/>
              <w:rPr>
                <w:rFonts w:eastAsia="Arial" w:cs="Arial"/>
                <w:color w:val="000000"/>
                <w:sz w:val="20"/>
                <w:lang w:eastAsia="en-US"/>
              </w:rPr>
            </w:pPr>
            <w:r w:rsidRPr="00075324">
              <w:rPr>
                <w:rFonts w:eastAsia="Arial" w:cs="Arial"/>
                <w:color w:val="000000"/>
                <w:sz w:val="20"/>
                <w:lang w:eastAsia="en-US"/>
              </w:rPr>
              <w:t>Abgeschlossene Verfahren in der Schuldner- und Insolvenzberatung</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rsidR="00075324" w:rsidRPr="00075324" w:rsidRDefault="00075324" w:rsidP="00C1772F">
            <w:pPr>
              <w:spacing w:line="240" w:lineRule="auto"/>
              <w:jc w:val="center"/>
              <w:rPr>
                <w:rFonts w:eastAsia="Arial" w:cs="Arial"/>
                <w:color w:val="000000"/>
                <w:sz w:val="20"/>
                <w:lang w:eastAsia="en-US"/>
              </w:rPr>
            </w:pPr>
            <w:r w:rsidRPr="00075324">
              <w:rPr>
                <w:rFonts w:eastAsia="Arial" w:cs="Arial"/>
                <w:color w:val="000000"/>
                <w:sz w:val="20"/>
                <w:lang w:eastAsia="en-US"/>
              </w:rPr>
              <w:t>Kurz- und Notfallberatung</w:t>
            </w:r>
          </w:p>
        </w:tc>
      </w:tr>
      <w:tr w:rsidR="00075324" w:rsidRPr="00075324" w:rsidTr="00934B87">
        <w:trPr>
          <w:trHeight w:val="525"/>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afg worknet Schuldnerberatung gGmbH</w:t>
            </w:r>
          </w:p>
        </w:tc>
        <w:tc>
          <w:tcPr>
            <w:tcW w:w="1843"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113</w:t>
            </w:r>
          </w:p>
        </w:tc>
        <w:tc>
          <w:tcPr>
            <w:tcW w:w="1985"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126</w:t>
            </w:r>
          </w:p>
        </w:tc>
        <w:tc>
          <w:tcPr>
            <w:tcW w:w="1842"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616</w:t>
            </w:r>
          </w:p>
        </w:tc>
      </w:tr>
      <w:tr w:rsidR="00075324" w:rsidRPr="00075324" w:rsidTr="00934B87">
        <w:trPr>
          <w:trHeight w:val="525"/>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AWO AQtivus Servicegesellschaft gGmbH</w:t>
            </w:r>
          </w:p>
        </w:tc>
        <w:tc>
          <w:tcPr>
            <w:tcW w:w="1843"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20</w:t>
            </w:r>
          </w:p>
        </w:tc>
        <w:tc>
          <w:tcPr>
            <w:tcW w:w="1985"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40</w:t>
            </w:r>
          </w:p>
        </w:tc>
        <w:tc>
          <w:tcPr>
            <w:tcW w:w="1842"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225</w:t>
            </w:r>
          </w:p>
        </w:tc>
      </w:tr>
      <w:tr w:rsidR="00075324" w:rsidRPr="00075324" w:rsidTr="00934B87">
        <w:trPr>
          <w:trHeight w:val="30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Diakonisches Werk Hamburg</w:t>
            </w:r>
          </w:p>
        </w:tc>
        <w:tc>
          <w:tcPr>
            <w:tcW w:w="1843"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189</w:t>
            </w:r>
          </w:p>
        </w:tc>
        <w:tc>
          <w:tcPr>
            <w:tcW w:w="1985"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167</w:t>
            </w:r>
          </w:p>
        </w:tc>
        <w:tc>
          <w:tcPr>
            <w:tcW w:w="1842"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444</w:t>
            </w:r>
          </w:p>
        </w:tc>
      </w:tr>
      <w:tr w:rsidR="00075324" w:rsidRPr="00075324" w:rsidTr="00934B87">
        <w:trPr>
          <w:trHeight w:val="78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DRK Hamburg Gesellschaft für soziale Beratung und Hilfe mbH Schuldner- und Insolvenzberatung</w:t>
            </w:r>
          </w:p>
        </w:tc>
        <w:tc>
          <w:tcPr>
            <w:tcW w:w="1843"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116</w:t>
            </w:r>
          </w:p>
        </w:tc>
        <w:tc>
          <w:tcPr>
            <w:tcW w:w="1985"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129</w:t>
            </w:r>
          </w:p>
        </w:tc>
        <w:tc>
          <w:tcPr>
            <w:tcW w:w="1842"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624</w:t>
            </w:r>
          </w:p>
        </w:tc>
      </w:tr>
      <w:tr w:rsidR="00075324" w:rsidRPr="00075324" w:rsidTr="00934B87">
        <w:trPr>
          <w:trHeight w:val="30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hamburger arbeit GmbH</w:t>
            </w:r>
          </w:p>
        </w:tc>
        <w:tc>
          <w:tcPr>
            <w:tcW w:w="1843"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130</w:t>
            </w:r>
          </w:p>
        </w:tc>
        <w:tc>
          <w:tcPr>
            <w:tcW w:w="1985"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130</w:t>
            </w:r>
          </w:p>
        </w:tc>
        <w:tc>
          <w:tcPr>
            <w:tcW w:w="1842"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263</w:t>
            </w:r>
          </w:p>
        </w:tc>
      </w:tr>
      <w:tr w:rsidR="00075324" w:rsidRPr="00075324" w:rsidTr="00934B87">
        <w:trPr>
          <w:trHeight w:val="30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Schuldenhilfe Sofort e.V.</w:t>
            </w:r>
          </w:p>
        </w:tc>
        <w:tc>
          <w:tcPr>
            <w:tcW w:w="1843"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110</w:t>
            </w:r>
          </w:p>
        </w:tc>
        <w:tc>
          <w:tcPr>
            <w:tcW w:w="1985"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57</w:t>
            </w:r>
          </w:p>
        </w:tc>
        <w:tc>
          <w:tcPr>
            <w:tcW w:w="1842"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538</w:t>
            </w:r>
          </w:p>
        </w:tc>
      </w:tr>
      <w:tr w:rsidR="00075324" w:rsidRPr="00075324" w:rsidTr="00934B87">
        <w:trPr>
          <w:trHeight w:val="255"/>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 xml:space="preserve">Verbraucherzentrale Hamburg e.V. </w:t>
            </w:r>
          </w:p>
        </w:tc>
        <w:tc>
          <w:tcPr>
            <w:tcW w:w="1843"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115</w:t>
            </w:r>
          </w:p>
        </w:tc>
        <w:tc>
          <w:tcPr>
            <w:tcW w:w="1985"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143</w:t>
            </w:r>
          </w:p>
        </w:tc>
        <w:tc>
          <w:tcPr>
            <w:tcW w:w="1842" w:type="dxa"/>
            <w:tcBorders>
              <w:top w:val="nil"/>
              <w:left w:val="nil"/>
              <w:bottom w:val="single" w:sz="4" w:space="0" w:color="auto"/>
              <w:right w:val="single" w:sz="4" w:space="0" w:color="auto"/>
            </w:tcBorders>
            <w:shd w:val="clear" w:color="auto" w:fill="auto"/>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698</w:t>
            </w:r>
          </w:p>
        </w:tc>
      </w:tr>
      <w:tr w:rsidR="00075324" w:rsidRPr="00075324" w:rsidTr="00934B87">
        <w:trPr>
          <w:trHeight w:val="300"/>
        </w:trPr>
        <w:tc>
          <w:tcPr>
            <w:tcW w:w="3472" w:type="dxa"/>
            <w:tcBorders>
              <w:top w:val="nil"/>
              <w:left w:val="single" w:sz="4" w:space="0" w:color="auto"/>
              <w:bottom w:val="single" w:sz="4" w:space="0" w:color="auto"/>
              <w:right w:val="single" w:sz="4" w:space="0" w:color="auto"/>
            </w:tcBorders>
            <w:shd w:val="clear" w:color="000000" w:fill="F2F2F2"/>
            <w:vAlign w:val="bottom"/>
            <w:hideMark/>
          </w:tcPr>
          <w:p w:rsidR="00075324" w:rsidRPr="00075324" w:rsidRDefault="00075324" w:rsidP="00075324">
            <w:pPr>
              <w:spacing w:line="240" w:lineRule="auto"/>
              <w:rPr>
                <w:rFonts w:eastAsia="Arial" w:cs="Arial"/>
                <w:color w:val="000000"/>
                <w:sz w:val="20"/>
                <w:lang w:eastAsia="en-US"/>
              </w:rPr>
            </w:pPr>
            <w:r w:rsidRPr="00075324">
              <w:rPr>
                <w:rFonts w:eastAsia="Arial" w:cs="Arial"/>
                <w:color w:val="000000"/>
                <w:sz w:val="20"/>
                <w:lang w:eastAsia="en-US"/>
              </w:rPr>
              <w:t>Summe</w:t>
            </w:r>
          </w:p>
        </w:tc>
        <w:tc>
          <w:tcPr>
            <w:tcW w:w="1843" w:type="dxa"/>
            <w:tcBorders>
              <w:top w:val="nil"/>
              <w:left w:val="nil"/>
              <w:bottom w:val="single" w:sz="4" w:space="0" w:color="auto"/>
              <w:right w:val="single" w:sz="4" w:space="0" w:color="auto"/>
            </w:tcBorders>
            <w:shd w:val="clear" w:color="000000" w:fill="F2F2F2"/>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663</w:t>
            </w:r>
          </w:p>
        </w:tc>
        <w:tc>
          <w:tcPr>
            <w:tcW w:w="1985" w:type="dxa"/>
            <w:tcBorders>
              <w:top w:val="nil"/>
              <w:left w:val="nil"/>
              <w:bottom w:val="single" w:sz="4" w:space="0" w:color="auto"/>
              <w:right w:val="single" w:sz="4" w:space="0" w:color="auto"/>
            </w:tcBorders>
            <w:shd w:val="clear" w:color="000000" w:fill="F2F2F2"/>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695</w:t>
            </w:r>
          </w:p>
        </w:tc>
        <w:tc>
          <w:tcPr>
            <w:tcW w:w="1842" w:type="dxa"/>
            <w:tcBorders>
              <w:top w:val="nil"/>
              <w:left w:val="nil"/>
              <w:bottom w:val="single" w:sz="4" w:space="0" w:color="auto"/>
              <w:right w:val="single" w:sz="4" w:space="0" w:color="auto"/>
            </w:tcBorders>
            <w:shd w:val="clear" w:color="000000" w:fill="F2F2F2"/>
            <w:noWrap/>
            <w:vAlign w:val="center"/>
            <w:hideMark/>
          </w:tcPr>
          <w:p w:rsidR="00075324" w:rsidRPr="00075324" w:rsidRDefault="00075324" w:rsidP="00075324">
            <w:pPr>
              <w:spacing w:line="240" w:lineRule="auto"/>
              <w:jc w:val="right"/>
              <w:rPr>
                <w:rFonts w:eastAsia="Arial" w:cs="Arial"/>
                <w:color w:val="000000"/>
                <w:sz w:val="20"/>
                <w:lang w:eastAsia="en-US"/>
              </w:rPr>
            </w:pPr>
            <w:r w:rsidRPr="00075324">
              <w:rPr>
                <w:rFonts w:eastAsia="Arial" w:cs="Arial"/>
                <w:color w:val="000000"/>
                <w:sz w:val="20"/>
                <w:lang w:eastAsia="en-US"/>
              </w:rPr>
              <w:t>2.645</w:t>
            </w:r>
          </w:p>
        </w:tc>
      </w:tr>
    </w:tbl>
    <w:p w:rsidR="00075324" w:rsidRDefault="00075324" w:rsidP="00075324">
      <w:pPr>
        <w:spacing w:line="240" w:lineRule="auto"/>
        <w:ind w:left="-75"/>
        <w:jc w:val="both"/>
        <w:outlineLvl w:val="2"/>
        <w:rPr>
          <w:rFonts w:eastAsia="Arial" w:cs="Arial"/>
          <w:sz w:val="20"/>
          <w:lang w:eastAsia="en-US"/>
        </w:rPr>
      </w:pPr>
    </w:p>
    <w:p w:rsidR="00C1772F" w:rsidRPr="00075324" w:rsidRDefault="00C1772F" w:rsidP="00C1772F">
      <w:pPr>
        <w:spacing w:line="240" w:lineRule="auto"/>
        <w:ind w:left="1588"/>
        <w:jc w:val="both"/>
        <w:outlineLvl w:val="2"/>
        <w:rPr>
          <w:rFonts w:eastAsia="Arial" w:cs="Arial"/>
          <w:sz w:val="20"/>
          <w:lang w:eastAsia="en-US"/>
        </w:rPr>
      </w:pPr>
    </w:p>
    <w:tbl>
      <w:tblPr>
        <w:tblW w:w="9142" w:type="dxa"/>
        <w:tblInd w:w="-75" w:type="dxa"/>
        <w:tblCellMar>
          <w:left w:w="70" w:type="dxa"/>
          <w:right w:w="70" w:type="dxa"/>
        </w:tblCellMar>
        <w:tblLook w:val="04A0" w:firstRow="1" w:lastRow="0" w:firstColumn="1" w:lastColumn="0" w:noHBand="0" w:noVBand="1"/>
      </w:tblPr>
      <w:tblGrid>
        <w:gridCol w:w="3472"/>
        <w:gridCol w:w="1843"/>
        <w:gridCol w:w="1985"/>
        <w:gridCol w:w="1842"/>
      </w:tblGrid>
      <w:tr w:rsidR="00C1772F" w:rsidRPr="00075324" w:rsidTr="00934B87">
        <w:trPr>
          <w:trHeight w:val="1020"/>
          <w:tblHeader/>
        </w:trPr>
        <w:tc>
          <w:tcPr>
            <w:tcW w:w="347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4. Quartal 2022</w:t>
            </w:r>
          </w:p>
        </w:tc>
        <w:tc>
          <w:tcPr>
            <w:tcW w:w="1843" w:type="dxa"/>
            <w:tcBorders>
              <w:top w:val="single" w:sz="4" w:space="0" w:color="auto"/>
              <w:left w:val="nil"/>
              <w:bottom w:val="single" w:sz="4" w:space="0" w:color="auto"/>
              <w:right w:val="single" w:sz="4" w:space="0" w:color="auto"/>
            </w:tcBorders>
            <w:shd w:val="clear" w:color="000000" w:fill="F2F2F2"/>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Zugänge in die Schuldner- und Insolvenzberatung</w:t>
            </w:r>
          </w:p>
        </w:tc>
        <w:tc>
          <w:tcPr>
            <w:tcW w:w="1985" w:type="dxa"/>
            <w:tcBorders>
              <w:top w:val="single" w:sz="4" w:space="0" w:color="auto"/>
              <w:left w:val="nil"/>
              <w:bottom w:val="single" w:sz="4" w:space="0" w:color="auto"/>
              <w:right w:val="single" w:sz="4" w:space="0" w:color="auto"/>
            </w:tcBorders>
            <w:shd w:val="clear" w:color="000000" w:fill="F2F2F2"/>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Abgeschlossene Verfahren in der Schuldner- und Insolvenzberatung</w:t>
            </w:r>
          </w:p>
        </w:tc>
        <w:tc>
          <w:tcPr>
            <w:tcW w:w="1842" w:type="dxa"/>
            <w:tcBorders>
              <w:top w:val="single" w:sz="4" w:space="0" w:color="auto"/>
              <w:left w:val="nil"/>
              <w:bottom w:val="single" w:sz="4" w:space="0" w:color="auto"/>
              <w:right w:val="single" w:sz="4" w:space="0" w:color="auto"/>
            </w:tcBorders>
            <w:shd w:val="clear" w:color="000000" w:fill="F2F2F2"/>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Kurz- und Notfallberatung</w:t>
            </w:r>
          </w:p>
        </w:tc>
      </w:tr>
      <w:tr w:rsidR="00C1772F" w:rsidRPr="00075324" w:rsidTr="00934B87">
        <w:trPr>
          <w:trHeight w:val="525"/>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afg worknet Schuldnerberatung gGmbH</w:t>
            </w:r>
          </w:p>
        </w:tc>
        <w:tc>
          <w:tcPr>
            <w:tcW w:w="1843"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117</w:t>
            </w:r>
          </w:p>
        </w:tc>
        <w:tc>
          <w:tcPr>
            <w:tcW w:w="1985"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99</w:t>
            </w:r>
          </w:p>
        </w:tc>
        <w:tc>
          <w:tcPr>
            <w:tcW w:w="1842"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587</w:t>
            </w:r>
          </w:p>
        </w:tc>
      </w:tr>
      <w:tr w:rsidR="00C1772F" w:rsidRPr="00075324" w:rsidTr="00934B87">
        <w:trPr>
          <w:trHeight w:val="525"/>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AWO AQtivus Servicegesellschaft gGmbH</w:t>
            </w:r>
          </w:p>
        </w:tc>
        <w:tc>
          <w:tcPr>
            <w:tcW w:w="1843"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47</w:t>
            </w:r>
          </w:p>
        </w:tc>
        <w:tc>
          <w:tcPr>
            <w:tcW w:w="1985"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34</w:t>
            </w:r>
          </w:p>
        </w:tc>
        <w:tc>
          <w:tcPr>
            <w:tcW w:w="1842"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152</w:t>
            </w:r>
          </w:p>
        </w:tc>
      </w:tr>
      <w:tr w:rsidR="00C1772F" w:rsidRPr="00075324" w:rsidTr="00934B87">
        <w:trPr>
          <w:trHeight w:val="30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Diakonisches Werk Hamburg</w:t>
            </w:r>
          </w:p>
        </w:tc>
        <w:tc>
          <w:tcPr>
            <w:tcW w:w="1843"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175</w:t>
            </w:r>
          </w:p>
        </w:tc>
        <w:tc>
          <w:tcPr>
            <w:tcW w:w="1985"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181</w:t>
            </w:r>
          </w:p>
        </w:tc>
        <w:tc>
          <w:tcPr>
            <w:tcW w:w="1842"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534</w:t>
            </w:r>
          </w:p>
        </w:tc>
      </w:tr>
      <w:tr w:rsidR="00C1772F" w:rsidRPr="00075324" w:rsidTr="00934B87">
        <w:trPr>
          <w:trHeight w:val="78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DRK Hamburg Gesellschaft für soziale Beratung und Hilfe mbH Schuldner- und Insolvenzberatung</w:t>
            </w:r>
          </w:p>
        </w:tc>
        <w:tc>
          <w:tcPr>
            <w:tcW w:w="1843"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128</w:t>
            </w:r>
          </w:p>
        </w:tc>
        <w:tc>
          <w:tcPr>
            <w:tcW w:w="1985"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118</w:t>
            </w:r>
          </w:p>
        </w:tc>
        <w:tc>
          <w:tcPr>
            <w:tcW w:w="1842"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667</w:t>
            </w:r>
          </w:p>
        </w:tc>
      </w:tr>
      <w:tr w:rsidR="00C1772F" w:rsidRPr="00075324" w:rsidTr="00934B87">
        <w:trPr>
          <w:trHeight w:val="30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hamburger arbeit GmbH</w:t>
            </w:r>
          </w:p>
        </w:tc>
        <w:tc>
          <w:tcPr>
            <w:tcW w:w="1843"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109</w:t>
            </w:r>
          </w:p>
        </w:tc>
        <w:tc>
          <w:tcPr>
            <w:tcW w:w="1985"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132</w:t>
            </w:r>
          </w:p>
        </w:tc>
        <w:tc>
          <w:tcPr>
            <w:tcW w:w="1842"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246</w:t>
            </w:r>
          </w:p>
        </w:tc>
      </w:tr>
      <w:tr w:rsidR="00C1772F" w:rsidRPr="00075324" w:rsidTr="00934B87">
        <w:trPr>
          <w:trHeight w:val="300"/>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Schuldenhilfe Sofort e.V.</w:t>
            </w:r>
          </w:p>
        </w:tc>
        <w:tc>
          <w:tcPr>
            <w:tcW w:w="1843"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111</w:t>
            </w:r>
          </w:p>
        </w:tc>
        <w:tc>
          <w:tcPr>
            <w:tcW w:w="1985"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79</w:t>
            </w:r>
          </w:p>
        </w:tc>
        <w:tc>
          <w:tcPr>
            <w:tcW w:w="1842"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566</w:t>
            </w:r>
          </w:p>
        </w:tc>
      </w:tr>
      <w:tr w:rsidR="00C1772F" w:rsidRPr="00075324" w:rsidTr="00934B87">
        <w:trPr>
          <w:trHeight w:val="293"/>
        </w:trPr>
        <w:tc>
          <w:tcPr>
            <w:tcW w:w="3472" w:type="dxa"/>
            <w:tcBorders>
              <w:top w:val="nil"/>
              <w:left w:val="single" w:sz="4" w:space="0" w:color="auto"/>
              <w:bottom w:val="single" w:sz="4" w:space="0" w:color="auto"/>
              <w:right w:val="single" w:sz="4" w:space="0" w:color="auto"/>
            </w:tcBorders>
            <w:shd w:val="clear" w:color="auto" w:fill="auto"/>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 xml:space="preserve">Verbraucherzentrale Hamburg e.V. </w:t>
            </w:r>
          </w:p>
        </w:tc>
        <w:tc>
          <w:tcPr>
            <w:tcW w:w="1843"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139</w:t>
            </w:r>
          </w:p>
        </w:tc>
        <w:tc>
          <w:tcPr>
            <w:tcW w:w="1985"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130</w:t>
            </w:r>
          </w:p>
        </w:tc>
        <w:tc>
          <w:tcPr>
            <w:tcW w:w="1842" w:type="dxa"/>
            <w:tcBorders>
              <w:top w:val="nil"/>
              <w:left w:val="nil"/>
              <w:bottom w:val="single" w:sz="4" w:space="0" w:color="auto"/>
              <w:right w:val="single" w:sz="4" w:space="0" w:color="auto"/>
            </w:tcBorders>
            <w:shd w:val="clear" w:color="auto" w:fill="auto"/>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756</w:t>
            </w:r>
          </w:p>
        </w:tc>
      </w:tr>
      <w:tr w:rsidR="00C1772F" w:rsidRPr="00075324" w:rsidTr="00934B87">
        <w:trPr>
          <w:trHeight w:val="300"/>
        </w:trPr>
        <w:tc>
          <w:tcPr>
            <w:tcW w:w="3472" w:type="dxa"/>
            <w:tcBorders>
              <w:top w:val="nil"/>
              <w:left w:val="single" w:sz="4" w:space="0" w:color="auto"/>
              <w:bottom w:val="single" w:sz="4" w:space="0" w:color="auto"/>
              <w:right w:val="single" w:sz="4" w:space="0" w:color="auto"/>
            </w:tcBorders>
            <w:shd w:val="clear" w:color="000000" w:fill="F2F2F2"/>
            <w:vAlign w:val="bottom"/>
            <w:hideMark/>
          </w:tcPr>
          <w:p w:rsidR="00C1772F" w:rsidRPr="00075324" w:rsidRDefault="00C1772F" w:rsidP="00B245A7">
            <w:pPr>
              <w:spacing w:line="240" w:lineRule="auto"/>
              <w:rPr>
                <w:rFonts w:eastAsia="Arial" w:cs="Arial"/>
                <w:color w:val="000000"/>
                <w:sz w:val="20"/>
                <w:lang w:eastAsia="en-US"/>
              </w:rPr>
            </w:pPr>
            <w:r w:rsidRPr="00075324">
              <w:rPr>
                <w:rFonts w:eastAsia="Arial" w:cs="Arial"/>
                <w:color w:val="000000"/>
                <w:sz w:val="20"/>
                <w:lang w:eastAsia="en-US"/>
              </w:rPr>
              <w:t>Summe</w:t>
            </w:r>
          </w:p>
        </w:tc>
        <w:tc>
          <w:tcPr>
            <w:tcW w:w="1843" w:type="dxa"/>
            <w:tcBorders>
              <w:top w:val="nil"/>
              <w:left w:val="nil"/>
              <w:bottom w:val="single" w:sz="4" w:space="0" w:color="auto"/>
              <w:right w:val="single" w:sz="4" w:space="0" w:color="auto"/>
            </w:tcBorders>
            <w:shd w:val="clear" w:color="000000" w:fill="F2F2F2"/>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826</w:t>
            </w:r>
          </w:p>
        </w:tc>
        <w:tc>
          <w:tcPr>
            <w:tcW w:w="1985" w:type="dxa"/>
            <w:tcBorders>
              <w:top w:val="nil"/>
              <w:left w:val="nil"/>
              <w:bottom w:val="single" w:sz="4" w:space="0" w:color="auto"/>
              <w:right w:val="single" w:sz="4" w:space="0" w:color="auto"/>
            </w:tcBorders>
            <w:shd w:val="clear" w:color="000000" w:fill="F2F2F2"/>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773</w:t>
            </w:r>
          </w:p>
        </w:tc>
        <w:tc>
          <w:tcPr>
            <w:tcW w:w="1842" w:type="dxa"/>
            <w:tcBorders>
              <w:top w:val="nil"/>
              <w:left w:val="nil"/>
              <w:bottom w:val="single" w:sz="4" w:space="0" w:color="auto"/>
              <w:right w:val="single" w:sz="4" w:space="0" w:color="auto"/>
            </w:tcBorders>
            <w:shd w:val="clear" w:color="000000" w:fill="F2F2F2"/>
            <w:noWrap/>
            <w:vAlign w:val="center"/>
            <w:hideMark/>
          </w:tcPr>
          <w:p w:rsidR="00C1772F" w:rsidRPr="00075324" w:rsidRDefault="00C1772F" w:rsidP="00B245A7">
            <w:pPr>
              <w:spacing w:line="240" w:lineRule="auto"/>
              <w:jc w:val="right"/>
              <w:rPr>
                <w:rFonts w:eastAsia="Arial" w:cs="Arial"/>
                <w:color w:val="000000"/>
                <w:sz w:val="20"/>
                <w:lang w:eastAsia="en-US"/>
              </w:rPr>
            </w:pPr>
            <w:r w:rsidRPr="00075324">
              <w:rPr>
                <w:rFonts w:eastAsia="Arial" w:cs="Arial"/>
                <w:color w:val="000000"/>
                <w:sz w:val="20"/>
                <w:lang w:eastAsia="en-US"/>
              </w:rPr>
              <w:t>3.508</w:t>
            </w:r>
          </w:p>
        </w:tc>
      </w:tr>
    </w:tbl>
    <w:p w:rsidR="00F73484" w:rsidRDefault="00F73484"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Wie viele Haushalte hat die Verbraucherzentrale Hamburg im 3. und 4. Quartal 2022 im Bereich Gas- und Strompreisrecht beraten? Bitte immer quartalsweise benennen.</w:t>
      </w:r>
    </w:p>
    <w:p w:rsidR="001468B9" w:rsidRPr="001468B9" w:rsidRDefault="001468B9" w:rsidP="001468B9">
      <w:pPr>
        <w:spacing w:before="240" w:line="240" w:lineRule="auto"/>
        <w:jc w:val="both"/>
        <w:outlineLvl w:val="2"/>
        <w:rPr>
          <w:rFonts w:eastAsia="Arial"/>
          <w:sz w:val="20"/>
          <w:lang w:eastAsia="en-US"/>
        </w:rPr>
      </w:pPr>
      <w:r w:rsidRPr="001468B9">
        <w:rPr>
          <w:rFonts w:eastAsia="Arial"/>
          <w:sz w:val="20"/>
          <w:lang w:eastAsia="en-US"/>
        </w:rPr>
        <w:t>Bei der Verbraucherzentrale Hamburg e. V. werden die Beratungskontakte zum Gas- und Strompreisrecht nicht gesondert erfasst. Die statistische Erfassung der Beratungen erfolgt jährlich. Die entsprechende Statistik für das Jahr 2022 liegt noch nicht vor.</w:t>
      </w:r>
    </w:p>
    <w:p w:rsidR="001468B9" w:rsidRDefault="001468B9" w:rsidP="00934E5F">
      <w:pPr>
        <w:pStyle w:val="Frage-Nummerierung1"/>
        <w:numPr>
          <w:ilvl w:val="0"/>
          <w:numId w:val="0"/>
        </w:numPr>
        <w:spacing w:before="0"/>
        <w:ind w:left="1588" w:hanging="1588"/>
      </w:pPr>
    </w:p>
    <w:p w:rsidR="00934E5F" w:rsidRPr="00E833F7" w:rsidRDefault="00934E5F" w:rsidP="00934E5F">
      <w:pPr>
        <w:pStyle w:val="Frage-Nummerierung1"/>
        <w:numPr>
          <w:ilvl w:val="0"/>
          <w:numId w:val="0"/>
        </w:numPr>
        <w:spacing w:before="0"/>
        <w:rPr>
          <w:b/>
        </w:rPr>
      </w:pPr>
      <w:r w:rsidRPr="00E833F7">
        <w:rPr>
          <w:b/>
        </w:rPr>
        <w:t>Härtefallfonds</w:t>
      </w:r>
    </w:p>
    <w:p w:rsidR="00934E5F" w:rsidRDefault="00934E5F" w:rsidP="00934E5F">
      <w:pPr>
        <w:pStyle w:val="Frage-Nummerierung1"/>
        <w:numPr>
          <w:ilvl w:val="0"/>
          <w:numId w:val="0"/>
        </w:numPr>
        <w:spacing w:before="0"/>
        <w:rPr>
          <w:b/>
          <w:i w:val="0"/>
        </w:rPr>
      </w:pPr>
    </w:p>
    <w:p w:rsidR="001468B9" w:rsidRPr="001468B9" w:rsidRDefault="00934E5F" w:rsidP="001468B9">
      <w:pPr>
        <w:pStyle w:val="Frage-Nummerierung1"/>
        <w:spacing w:before="0"/>
        <w:ind w:left="1701" w:hanging="1701"/>
      </w:pPr>
      <w:r>
        <w:t>Wie viele Anträge auf Übernahme der Energiekosten durch den Härtefallfonds sind bei den anerkannten Schuldnerberatungsstellen eingegangen?</w:t>
      </w:r>
    </w:p>
    <w:p w:rsidR="00934E5F" w:rsidRDefault="00934E5F" w:rsidP="00934E5F">
      <w:pPr>
        <w:pStyle w:val="Frage-Nummerierung1"/>
        <w:spacing w:before="0"/>
        <w:ind w:left="1701" w:hanging="1701"/>
      </w:pPr>
      <w:r>
        <w:t>Wie viele der Anträge an den Härtefallfonds sind positiv beschieden und wie viele aus welchen Gründen abgelehnt worden?</w:t>
      </w:r>
    </w:p>
    <w:p w:rsidR="001468B9" w:rsidRPr="001468B9" w:rsidRDefault="001468B9" w:rsidP="001468B9">
      <w:pPr>
        <w:spacing w:before="240" w:line="240" w:lineRule="auto"/>
        <w:jc w:val="both"/>
        <w:outlineLvl w:val="2"/>
        <w:rPr>
          <w:rFonts w:eastAsia="Arial"/>
          <w:sz w:val="20"/>
          <w:lang w:eastAsia="en-US"/>
        </w:rPr>
      </w:pPr>
      <w:r w:rsidRPr="001468B9">
        <w:rPr>
          <w:rFonts w:eastAsia="Arial" w:cs="Arial"/>
          <w:sz w:val="20"/>
          <w:lang w:eastAsia="en-US"/>
        </w:rPr>
        <w:t>Es wurden vier Anträge von den Schuldnerberatungsstellen gemeldet</w:t>
      </w:r>
      <w:r w:rsidRPr="001468B9">
        <w:rPr>
          <w:rFonts w:eastAsia="Arial"/>
          <w:sz w:val="20"/>
          <w:lang w:eastAsia="en-US"/>
        </w:rPr>
        <w:t>.</w:t>
      </w:r>
      <w:r>
        <w:rPr>
          <w:rFonts w:eastAsia="Arial"/>
          <w:sz w:val="20"/>
          <w:lang w:eastAsia="en-US"/>
        </w:rPr>
        <w:t xml:space="preserve"> </w:t>
      </w:r>
      <w:r w:rsidRPr="001468B9">
        <w:rPr>
          <w:rFonts w:eastAsia="Arial"/>
          <w:sz w:val="20"/>
          <w:lang w:eastAsia="en-US"/>
        </w:rPr>
        <w:t>Alle vier Fälle wurden positiv beschieden.</w:t>
      </w:r>
      <w:r w:rsidR="002403F4">
        <w:rPr>
          <w:rFonts w:eastAsia="Arial"/>
          <w:sz w:val="20"/>
          <w:lang w:eastAsia="en-US"/>
        </w:rPr>
        <w:t xml:space="preserve"> Im Übrigen siehe Vorbemerkung.</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numPr>
          <w:ilvl w:val="0"/>
          <w:numId w:val="0"/>
        </w:numPr>
        <w:spacing w:before="0"/>
        <w:ind w:left="1701" w:hanging="1701"/>
      </w:pPr>
      <w:r w:rsidRPr="00934E5F">
        <w:rPr>
          <w:b/>
        </w:rPr>
        <w:t>Vorbemerkung:</w:t>
      </w:r>
      <w:r>
        <w:tab/>
        <w:t>Auf hamburg.de findet sich eine Liste der Energieunternehmen, die sich am Härtefallfonds beteiligen. Diese umfasst bisher nur den Grundversorger Vattenfall.</w:t>
      </w:r>
    </w:p>
    <w:p w:rsidR="00934E5F" w:rsidRDefault="00934E5F" w:rsidP="00934E5F">
      <w:pPr>
        <w:pStyle w:val="Frage-Nummerierung1"/>
        <w:spacing w:before="0"/>
        <w:ind w:left="1701" w:hanging="1701"/>
      </w:pPr>
      <w:r>
        <w:t>Welche Anstrengungen hat der Senat unternommen, damit sich noch weitere Energieunternehmen am Härtefallfonds zur Vermeidung von Energiesperren beteiligen?</w:t>
      </w:r>
    </w:p>
    <w:p w:rsidR="001468B9" w:rsidRPr="001468B9" w:rsidRDefault="001468B9" w:rsidP="001468B9">
      <w:pPr>
        <w:spacing w:before="240" w:line="240" w:lineRule="auto"/>
        <w:jc w:val="both"/>
        <w:outlineLvl w:val="2"/>
        <w:rPr>
          <w:rFonts w:eastAsia="Arial"/>
          <w:sz w:val="20"/>
          <w:lang w:eastAsia="en-US"/>
        </w:rPr>
      </w:pPr>
      <w:r w:rsidRPr="001468B9">
        <w:rPr>
          <w:rFonts w:eastAsia="Arial"/>
          <w:sz w:val="20"/>
          <w:lang w:eastAsia="en-US"/>
        </w:rPr>
        <w:t>Alle in Hamburg tätigen Strom-, Gas- und Fernwärmelieferanten wurden vom Senat angeschrieben und aufgefordert, sich am Härtefallfonds zur Vermeidung von Energiesperren zu beteiligen. Einige Energielieferanten haben erklärt, dass eine Beteiligung für sie nicht in Frage käme, da sie keine Energiesperren in Auftrag geben würden. Die mit Abstand meisten Sperrungen werden in Hamburg im Bereich Strom durch den Stromgrundversorger in Auftrag gegeben. Der größte Teil der Privathaushalte, die von Energiesperren bedroht sind, kann mit der Beteiligung des Stromgrundversorgers am Härtefallfonds Unterstützungsleistungen beantragen. In Hamburg aktive Energielieferanten können sich weiterhin am Härtefallfonds beteiligen.</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Wieso beteiligt sich der städtische Stromversorger Hamburg Energie nicht am Härtefallfonds zur Vermeidung von Energiesperren?</w:t>
      </w:r>
    </w:p>
    <w:p w:rsidR="001468B9" w:rsidRPr="001468B9" w:rsidRDefault="0014568A" w:rsidP="001468B9">
      <w:pPr>
        <w:spacing w:before="240" w:line="240" w:lineRule="auto"/>
        <w:jc w:val="both"/>
        <w:outlineLvl w:val="2"/>
        <w:rPr>
          <w:rFonts w:eastAsia="Arial"/>
          <w:iCs/>
          <w:sz w:val="20"/>
          <w:lang w:eastAsia="en-US"/>
        </w:rPr>
      </w:pPr>
      <w:r>
        <w:rPr>
          <w:rFonts w:eastAsia="Arial"/>
          <w:iCs/>
          <w:sz w:val="20"/>
          <w:lang w:eastAsia="en-US"/>
        </w:rPr>
        <w:t>S</w:t>
      </w:r>
      <w:r w:rsidR="001468B9" w:rsidRPr="001468B9">
        <w:rPr>
          <w:rFonts w:eastAsia="Arial"/>
          <w:iCs/>
          <w:sz w:val="20"/>
          <w:lang w:eastAsia="en-US"/>
        </w:rPr>
        <w:t>iehe Vorbemerkung.</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 xml:space="preserve">Hat es weitere Gespräche mit E.ON als Grundversorger für Gas zur Beteiligung am Härtefallfonds gegeben? </w:t>
      </w:r>
    </w:p>
    <w:p w:rsidR="00934E5F" w:rsidRDefault="00934E5F" w:rsidP="00934E5F">
      <w:pPr>
        <w:pStyle w:val="Frage-Nummerierung1"/>
        <w:numPr>
          <w:ilvl w:val="0"/>
          <w:numId w:val="0"/>
        </w:numPr>
        <w:spacing w:before="0"/>
        <w:ind w:left="1701"/>
      </w:pPr>
      <w:r>
        <w:t xml:space="preserve">Wenn ja, mit welchem Ergebnis? </w:t>
      </w:r>
    </w:p>
    <w:p w:rsidR="00934E5F" w:rsidRDefault="00934E5F" w:rsidP="00934E5F">
      <w:pPr>
        <w:pStyle w:val="Frage-Nummerierung1"/>
        <w:numPr>
          <w:ilvl w:val="0"/>
          <w:numId w:val="0"/>
        </w:numPr>
        <w:spacing w:before="0"/>
        <w:ind w:left="1701"/>
      </w:pPr>
      <w:r>
        <w:t>Wenn nein, warum nicht?</w:t>
      </w:r>
    </w:p>
    <w:p w:rsidR="001468B9" w:rsidRPr="001468B9" w:rsidRDefault="001468B9" w:rsidP="001468B9">
      <w:pPr>
        <w:spacing w:before="240" w:line="240" w:lineRule="auto"/>
        <w:jc w:val="both"/>
        <w:outlineLvl w:val="2"/>
        <w:rPr>
          <w:rFonts w:eastAsia="Arial"/>
          <w:sz w:val="20"/>
          <w:lang w:eastAsia="en-US"/>
        </w:rPr>
      </w:pPr>
      <w:r w:rsidRPr="001468B9">
        <w:rPr>
          <w:rFonts w:eastAsia="Arial"/>
          <w:sz w:val="20"/>
          <w:lang w:eastAsia="en-US"/>
        </w:rPr>
        <w:t xml:space="preserve">Der Senat hat mehrfach Gespräche mit der E.ON Energie Deutschland GmbH geführt und das Unternehmen mündlich und schriftlich aufgefordert, sich am Härtefallfonds zu beteiligen. Das Unternehmen hat eine Beteiligung mit der Begründung abgelehnt, dass </w:t>
      </w:r>
      <w:r w:rsidR="0003283E">
        <w:rPr>
          <w:rFonts w:eastAsia="Arial"/>
          <w:sz w:val="20"/>
          <w:lang w:eastAsia="en-US"/>
        </w:rPr>
        <w:t>es sich aufgrund seiner bundesweiten Tätigkeit</w:t>
      </w:r>
      <w:r w:rsidRPr="001468B9">
        <w:rPr>
          <w:rFonts w:eastAsia="Arial"/>
          <w:sz w:val="20"/>
          <w:lang w:eastAsia="en-US"/>
        </w:rPr>
        <w:t xml:space="preserve"> nur an Entlastungsmaßnahmen beteiligen würde, die E.ON-Kundinnen und -Kunden im Bundesgebiet in gleichem Maße offenstehen. Weiterhin hat E.ON auf bestehende Unterstützungsmaßnahmen des Unternehmens </w:t>
      </w:r>
      <w:r w:rsidR="0003283E">
        <w:rPr>
          <w:rFonts w:eastAsia="Arial"/>
          <w:sz w:val="20"/>
          <w:lang w:eastAsia="en-US"/>
        </w:rPr>
        <w:t>für</w:t>
      </w:r>
      <w:r w:rsidR="0003283E" w:rsidRPr="001468B9">
        <w:rPr>
          <w:rFonts w:eastAsia="Arial"/>
          <w:sz w:val="20"/>
          <w:lang w:eastAsia="en-US"/>
        </w:rPr>
        <w:t xml:space="preserve"> </w:t>
      </w:r>
      <w:r w:rsidRPr="001468B9">
        <w:rPr>
          <w:rFonts w:eastAsia="Arial"/>
          <w:sz w:val="20"/>
          <w:lang w:eastAsia="en-US"/>
        </w:rPr>
        <w:t xml:space="preserve">Kundinnen und Kunden mit Zahlungsschwierigkeiten hingewiesen. Hierzu gehören erstens ein Zahlhilfeprogramm – indem ein speziell ausgebildetes Team Kunden und Kundinnen in finanziellen Notlagen berät und unter anderem an Jobcenter, telefonische Schuldnerberatungen und an Schuldnerportale von Dritten vermittelt, zweitens langfristige zinsfreie Ratenpläne und drittens ein </w:t>
      </w:r>
      <w:r w:rsidR="0003283E" w:rsidRPr="001468B9">
        <w:rPr>
          <w:rFonts w:eastAsia="Arial"/>
          <w:sz w:val="20"/>
          <w:lang w:eastAsia="en-US"/>
        </w:rPr>
        <w:t>Barzahle</w:t>
      </w:r>
      <w:r w:rsidR="0003283E">
        <w:rPr>
          <w:rFonts w:eastAsia="Arial"/>
          <w:sz w:val="20"/>
          <w:lang w:eastAsia="en-US"/>
        </w:rPr>
        <w:t>r</w:t>
      </w:r>
      <w:r w:rsidRPr="001468B9">
        <w:rPr>
          <w:rFonts w:eastAsia="Arial"/>
          <w:sz w:val="20"/>
          <w:lang w:eastAsia="en-US"/>
        </w:rPr>
        <w:t>-Programm, worüber offene Beträge deutschlandweit in Geschäften vor Ort beglichen werden können. Der Senat hat mit dem Unternehmen vereinbart, die Zusammenarbeit des Unternehmens mit den öffentlich-geförderten Schuldnerberatungsstellen in Hamburg zu verbessern.</w:t>
      </w:r>
    </w:p>
    <w:p w:rsidR="00934E5F" w:rsidRDefault="00934E5F" w:rsidP="00934E5F">
      <w:pPr>
        <w:pStyle w:val="Frage-Nummerierung1"/>
        <w:numPr>
          <w:ilvl w:val="0"/>
          <w:numId w:val="0"/>
        </w:numPr>
        <w:spacing w:before="0"/>
        <w:ind w:left="1701"/>
      </w:pPr>
    </w:p>
    <w:p w:rsidR="00934E5F" w:rsidRDefault="00934E5F" w:rsidP="00934E5F">
      <w:pPr>
        <w:pStyle w:val="Frage-Nummerierung1"/>
        <w:numPr>
          <w:ilvl w:val="0"/>
          <w:numId w:val="0"/>
        </w:numPr>
        <w:spacing w:before="0"/>
        <w:ind w:left="1701" w:hanging="1701"/>
      </w:pPr>
      <w:r w:rsidRPr="00934E5F">
        <w:rPr>
          <w:b/>
        </w:rPr>
        <w:t>Vorbemerkung:</w:t>
      </w:r>
      <w:r>
        <w:tab/>
        <w:t>Um dem erhöhten Bedarf nach Beratungen im Zuge der Auswirkungen der Corona-Pandemie gerecht zu werden, hat die Bürgerschaft bereits im Januar 2021 den Ausbau der Schuldnerberatungsstellen beschlossen (Drs. 22/2991). Zusätzlich sollten die Beratungsstellen nun im Rahmen der Abwicklung des Härtefallfonds eine personelle Aufstockung erfahren.</w:t>
      </w:r>
    </w:p>
    <w:p w:rsidR="00934E5F" w:rsidRDefault="00934E5F" w:rsidP="00934E5F">
      <w:pPr>
        <w:pStyle w:val="Frage-Nummerierung1"/>
        <w:spacing w:before="0"/>
        <w:ind w:left="1701" w:hanging="1701"/>
      </w:pPr>
      <w:r>
        <w:t xml:space="preserve">Wie haben sich ab dem 3. Quartal 2021 die Anmeldezahlen bei den anerkannten Schuldnerberatungsstellen entwickelt? Bitte quartalsweise nach Beratungsstellen aufschlüsseln. </w:t>
      </w:r>
    </w:p>
    <w:p w:rsidR="00FE4E95" w:rsidRDefault="00FE4E95" w:rsidP="00FE4E95">
      <w:pPr>
        <w:spacing w:line="240" w:lineRule="auto"/>
        <w:outlineLvl w:val="2"/>
        <w:rPr>
          <w:rFonts w:eastAsia="Arial" w:cs="Arial"/>
          <w:sz w:val="20"/>
          <w:lang w:eastAsia="en-US"/>
        </w:rPr>
      </w:pPr>
    </w:p>
    <w:tbl>
      <w:tblPr>
        <w:tblW w:w="9101" w:type="dxa"/>
        <w:tblInd w:w="-28" w:type="dxa"/>
        <w:tblCellMar>
          <w:left w:w="70" w:type="dxa"/>
          <w:right w:w="70" w:type="dxa"/>
        </w:tblCellMar>
        <w:tblLook w:val="04A0" w:firstRow="1" w:lastRow="0" w:firstColumn="1" w:lastColumn="0" w:noHBand="0" w:noVBand="1"/>
      </w:tblPr>
      <w:tblGrid>
        <w:gridCol w:w="5557"/>
        <w:gridCol w:w="992"/>
        <w:gridCol w:w="850"/>
        <w:gridCol w:w="849"/>
        <w:gridCol w:w="853"/>
      </w:tblGrid>
      <w:tr w:rsidR="00934B87" w:rsidRPr="001468B9" w:rsidTr="00934B87">
        <w:trPr>
          <w:trHeight w:val="300"/>
        </w:trPr>
        <w:tc>
          <w:tcPr>
            <w:tcW w:w="9101" w:type="dxa"/>
            <w:gridSpan w:val="5"/>
            <w:tcBorders>
              <w:top w:val="nil"/>
              <w:left w:val="nil"/>
              <w:bottom w:val="nil"/>
              <w:right w:val="nil"/>
            </w:tcBorders>
            <w:shd w:val="clear" w:color="auto" w:fill="auto"/>
            <w:noWrap/>
            <w:vAlign w:val="bottom"/>
            <w:hideMark/>
          </w:tcPr>
          <w:p w:rsidR="00934B87" w:rsidRPr="001468B9" w:rsidRDefault="00934B87" w:rsidP="001468B9">
            <w:pPr>
              <w:spacing w:line="240" w:lineRule="auto"/>
              <w:rPr>
                <w:rFonts w:ascii="Times New Roman" w:hAnsi="Times New Roman"/>
                <w:sz w:val="20"/>
              </w:rPr>
            </w:pPr>
            <w:r w:rsidRPr="00FE4E95">
              <w:rPr>
                <w:rFonts w:eastAsia="Arial" w:cs="Arial"/>
                <w:sz w:val="20"/>
                <w:lang w:eastAsia="en-US"/>
              </w:rPr>
              <w:t>Anmeldungen in den anerkannten Schuldnerberatungsstellen:</w:t>
            </w:r>
          </w:p>
        </w:tc>
      </w:tr>
      <w:tr w:rsidR="001468B9" w:rsidRPr="001468B9" w:rsidTr="00934B87">
        <w:trPr>
          <w:trHeight w:val="300"/>
        </w:trPr>
        <w:tc>
          <w:tcPr>
            <w:tcW w:w="555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Beratungsstelle</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Sep 22</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Okt 22</w:t>
            </w:r>
          </w:p>
        </w:tc>
        <w:tc>
          <w:tcPr>
            <w:tcW w:w="849" w:type="dxa"/>
            <w:tcBorders>
              <w:top w:val="single" w:sz="4" w:space="0" w:color="auto"/>
              <w:left w:val="nil"/>
              <w:bottom w:val="single" w:sz="4" w:space="0" w:color="auto"/>
              <w:right w:val="single" w:sz="4" w:space="0" w:color="auto"/>
            </w:tcBorders>
            <w:shd w:val="clear" w:color="000000" w:fill="F2F2F2"/>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Nov 22</w:t>
            </w:r>
          </w:p>
        </w:tc>
        <w:tc>
          <w:tcPr>
            <w:tcW w:w="853" w:type="dxa"/>
            <w:tcBorders>
              <w:top w:val="single" w:sz="4" w:space="0" w:color="auto"/>
              <w:left w:val="nil"/>
              <w:bottom w:val="single" w:sz="4" w:space="0" w:color="auto"/>
              <w:right w:val="single" w:sz="4" w:space="0" w:color="auto"/>
            </w:tcBorders>
            <w:shd w:val="clear" w:color="000000" w:fill="F2F2F2"/>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Dez 22</w:t>
            </w:r>
          </w:p>
        </w:tc>
      </w:tr>
      <w:tr w:rsidR="001468B9" w:rsidRPr="001468B9" w:rsidTr="00934B87">
        <w:trPr>
          <w:trHeight w:val="263"/>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ADN Schuldner- und Insolvenzberatung gGmbH</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36</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50</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76</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51</w:t>
            </w:r>
          </w:p>
        </w:tc>
      </w:tr>
      <w:tr w:rsidR="001468B9" w:rsidRPr="001468B9" w:rsidTr="00934B87">
        <w:trPr>
          <w:trHeight w:val="313"/>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afg worknet Schuldnerberatung gGmbH</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33</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33</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43</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32</w:t>
            </w:r>
          </w:p>
        </w:tc>
      </w:tr>
      <w:tr w:rsidR="001468B9" w:rsidRPr="001468B9" w:rsidTr="00934B87">
        <w:trPr>
          <w:trHeight w:val="300"/>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Aktive Suchthilfe e.V.</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1</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w:t>
            </w:r>
          </w:p>
        </w:tc>
      </w:tr>
      <w:tr w:rsidR="001468B9" w:rsidRPr="001468B9" w:rsidTr="00934B87">
        <w:trPr>
          <w:trHeight w:val="452"/>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 xml:space="preserve">anw-nord GmbH (Nachfolge Roder &amp; </w:t>
            </w:r>
            <w:r w:rsidRPr="001468B9">
              <w:rPr>
                <w:rFonts w:cs="Arial"/>
                <w:color w:val="000000"/>
                <w:sz w:val="20"/>
              </w:rPr>
              <w:br/>
              <w:t>Förter-Vondey GbRSchuldnerberatung)</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20</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20</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10</w:t>
            </w:r>
          </w:p>
        </w:tc>
      </w:tr>
      <w:tr w:rsidR="001468B9" w:rsidRPr="001468B9" w:rsidTr="00934B87">
        <w:trPr>
          <w:trHeight w:val="195"/>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AWO AQtivus Servicegesellschaft gGmbH</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70</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55</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52</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30</w:t>
            </w:r>
          </w:p>
        </w:tc>
      </w:tr>
      <w:tr w:rsidR="001468B9" w:rsidRPr="001468B9" w:rsidTr="00934B87">
        <w:trPr>
          <w:trHeight w:val="300"/>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B.O.E.R.S.E. e.V.</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w:t>
            </w:r>
          </w:p>
        </w:tc>
      </w:tr>
      <w:tr w:rsidR="001468B9" w:rsidRPr="001468B9" w:rsidTr="00934B87">
        <w:trPr>
          <w:trHeight w:val="760"/>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 xml:space="preserve">Deutsches Rotes Kreuz - </w:t>
            </w:r>
            <w:r w:rsidRPr="001468B9">
              <w:rPr>
                <w:rFonts w:cs="Arial"/>
                <w:color w:val="000000"/>
                <w:sz w:val="20"/>
              </w:rPr>
              <w:br/>
              <w:t xml:space="preserve">Gesellschaft für soziale Beratung und Hilfe mbH </w:t>
            </w:r>
          </w:p>
        </w:tc>
        <w:tc>
          <w:tcPr>
            <w:tcW w:w="3544" w:type="dxa"/>
            <w:gridSpan w:val="4"/>
            <w:tcBorders>
              <w:top w:val="single" w:sz="4" w:space="0" w:color="auto"/>
              <w:left w:val="nil"/>
              <w:bottom w:val="single" w:sz="4" w:space="0" w:color="auto"/>
              <w:right w:val="single" w:sz="4" w:space="0" w:color="auto"/>
            </w:tcBorders>
            <w:shd w:val="clear" w:color="auto" w:fill="auto"/>
            <w:vAlign w:val="bottom"/>
            <w:hideMark/>
          </w:tcPr>
          <w:p w:rsidR="001468B9" w:rsidRPr="001468B9" w:rsidRDefault="001468B9" w:rsidP="001468B9">
            <w:pPr>
              <w:spacing w:line="240" w:lineRule="auto"/>
              <w:jc w:val="center"/>
              <w:rPr>
                <w:rFonts w:cs="Arial"/>
                <w:color w:val="000000"/>
                <w:sz w:val="20"/>
              </w:rPr>
            </w:pPr>
            <w:r w:rsidRPr="001468B9">
              <w:rPr>
                <w:rFonts w:cs="Arial"/>
                <w:color w:val="000000"/>
                <w:sz w:val="20"/>
              </w:rPr>
              <w:t>Zahl wird nicht explizit statistisch erhoben. Schätzung des DRK 40 bis 50 Anmeldungen pro Monat</w:t>
            </w:r>
          </w:p>
        </w:tc>
      </w:tr>
      <w:tr w:rsidR="001468B9" w:rsidRPr="001468B9" w:rsidTr="00934B87">
        <w:trPr>
          <w:trHeight w:val="305"/>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Diakonisches Werk Schuldnerberatung</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97</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93</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95</w:t>
            </w:r>
          </w:p>
        </w:tc>
      </w:tr>
      <w:tr w:rsidR="001468B9" w:rsidRPr="001468B9" w:rsidTr="00934B87">
        <w:trPr>
          <w:trHeight w:val="300"/>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Fürstenberg Institut GmbH</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12</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8</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w:t>
            </w:r>
          </w:p>
        </w:tc>
      </w:tr>
      <w:tr w:rsidR="001468B9" w:rsidRPr="001468B9" w:rsidTr="00934B87">
        <w:trPr>
          <w:trHeight w:val="444"/>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 xml:space="preserve">Grone-Bildungszentrum für Qualifizierung und Integration Hamburg GmbH </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8</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7</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7</w:t>
            </w:r>
          </w:p>
        </w:tc>
      </w:tr>
      <w:tr w:rsidR="001468B9" w:rsidRPr="001468B9" w:rsidTr="00934B87">
        <w:trPr>
          <w:trHeight w:val="300"/>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hamburger arbeit GmbH</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28</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56</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44</w:t>
            </w:r>
          </w:p>
        </w:tc>
      </w:tr>
      <w:tr w:rsidR="001468B9" w:rsidRPr="001468B9" w:rsidTr="00934B87">
        <w:trPr>
          <w:trHeight w:val="279"/>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pro humana</w:t>
            </w:r>
            <w:r w:rsidR="00934B87">
              <w:rPr>
                <w:rFonts w:cs="Arial"/>
                <w:color w:val="000000"/>
                <w:sz w:val="20"/>
              </w:rPr>
              <w:t xml:space="preserve"> </w:t>
            </w:r>
            <w:r w:rsidRPr="001468B9">
              <w:rPr>
                <w:rFonts w:cs="Arial"/>
                <w:color w:val="000000"/>
                <w:sz w:val="20"/>
              </w:rPr>
              <w:t>Schuldner- und Insolvenzberatung e.V.</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5</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w:t>
            </w:r>
          </w:p>
        </w:tc>
      </w:tr>
      <w:tr w:rsidR="001468B9" w:rsidRPr="001468B9" w:rsidTr="00934B87">
        <w:trPr>
          <w:trHeight w:val="300"/>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Schuldenhilfe Sofort e.V</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42</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46</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41</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29</w:t>
            </w:r>
          </w:p>
        </w:tc>
      </w:tr>
      <w:tr w:rsidR="001468B9" w:rsidRPr="001468B9" w:rsidTr="00934B87">
        <w:trPr>
          <w:trHeight w:val="300"/>
        </w:trPr>
        <w:tc>
          <w:tcPr>
            <w:tcW w:w="5557"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Verbraucherzentrale Hamburg e. V.</w:t>
            </w:r>
          </w:p>
        </w:tc>
        <w:tc>
          <w:tcPr>
            <w:tcW w:w="992"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36</w:t>
            </w:r>
          </w:p>
        </w:tc>
        <w:tc>
          <w:tcPr>
            <w:tcW w:w="850"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31</w:t>
            </w:r>
          </w:p>
        </w:tc>
        <w:tc>
          <w:tcPr>
            <w:tcW w:w="849"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60</w:t>
            </w:r>
          </w:p>
        </w:tc>
        <w:tc>
          <w:tcPr>
            <w:tcW w:w="853"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48</w:t>
            </w:r>
          </w:p>
        </w:tc>
      </w:tr>
    </w:tbl>
    <w:p w:rsidR="001468B9" w:rsidRPr="00455B4A" w:rsidRDefault="00F73484" w:rsidP="001468B9">
      <w:pPr>
        <w:spacing w:before="240" w:line="240" w:lineRule="auto"/>
        <w:jc w:val="both"/>
        <w:outlineLvl w:val="2"/>
        <w:rPr>
          <w:rFonts w:eastAsia="Arial"/>
          <w:color w:val="0070C0"/>
          <w:sz w:val="20"/>
          <w:lang w:eastAsia="en-US"/>
        </w:rPr>
      </w:pPr>
      <w:r>
        <w:rPr>
          <w:rFonts w:eastAsia="Arial" w:cs="Arial"/>
          <w:sz w:val="20"/>
          <w:lang w:eastAsia="en-US"/>
        </w:rPr>
        <w:t>Im Übrigen</w:t>
      </w:r>
      <w:r w:rsidR="001468B9" w:rsidRPr="001468B9">
        <w:rPr>
          <w:rFonts w:eastAsia="Arial" w:cs="Arial"/>
          <w:sz w:val="20"/>
          <w:lang w:eastAsia="en-US"/>
        </w:rPr>
        <w:t xml:space="preserve"> siehe </w:t>
      </w:r>
      <w:bookmarkStart w:id="3" w:name="_Hlk126225060"/>
      <w:r w:rsidR="001468B9" w:rsidRPr="001468B9">
        <w:rPr>
          <w:rFonts w:eastAsia="Arial" w:cs="Arial"/>
          <w:sz w:val="20"/>
          <w:lang w:eastAsia="en-US"/>
        </w:rPr>
        <w:t>Drs. 22/9395.</w:t>
      </w:r>
      <w:r w:rsidR="00455B4A">
        <w:rPr>
          <w:rFonts w:eastAsia="Arial" w:cs="Arial"/>
          <w:color w:val="0070C0"/>
          <w:sz w:val="20"/>
          <w:lang w:eastAsia="en-US"/>
        </w:rPr>
        <w:t xml:space="preserve"> </w:t>
      </w:r>
    </w:p>
    <w:bookmarkEnd w:id="3"/>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Wie ist die aktuelle Wartezeit für eine Beratung bei den anerkannten Schuldnerberatungsstellen? Bitte pro Beratungsstelle aufschlüsseln.</w:t>
      </w:r>
    </w:p>
    <w:p w:rsidR="001468B9" w:rsidRPr="001468B9" w:rsidRDefault="001468B9" w:rsidP="001468B9">
      <w:pPr>
        <w:spacing w:before="240" w:line="240" w:lineRule="auto"/>
        <w:jc w:val="both"/>
        <w:outlineLvl w:val="2"/>
        <w:rPr>
          <w:rFonts w:eastAsia="Arial" w:cs="Arial"/>
          <w:sz w:val="20"/>
          <w:lang w:eastAsia="zh-CN"/>
        </w:rPr>
      </w:pPr>
      <w:r w:rsidRPr="001468B9">
        <w:rPr>
          <w:rFonts w:eastAsia="Arial" w:cs="Arial"/>
          <w:sz w:val="20"/>
          <w:lang w:eastAsia="zh-CN"/>
        </w:rPr>
        <w:t xml:space="preserve">Die offene Kurz- und Notfallberatung kann jederzeit ohne Wartezeit bei allen Beratungsstellen wahrgenommen werden. </w:t>
      </w:r>
    </w:p>
    <w:p w:rsidR="001468B9" w:rsidRPr="00FE4E95" w:rsidRDefault="001468B9" w:rsidP="001468B9">
      <w:pPr>
        <w:spacing w:before="240" w:line="240" w:lineRule="auto"/>
        <w:jc w:val="both"/>
        <w:outlineLvl w:val="2"/>
        <w:rPr>
          <w:rFonts w:eastAsia="Arial" w:cs="Arial"/>
          <w:color w:val="191919"/>
          <w:sz w:val="20"/>
          <w:lang w:eastAsia="en-US"/>
        </w:rPr>
      </w:pPr>
      <w:r w:rsidRPr="00FE4E95">
        <w:rPr>
          <w:rFonts w:eastAsia="Arial" w:cs="Arial"/>
          <w:color w:val="191919"/>
          <w:sz w:val="20"/>
          <w:lang w:eastAsia="en-US"/>
        </w:rPr>
        <w:t>Aktuelle Wartezeit für eine Beratung bei den Schuldnerberatungsstellen:</w:t>
      </w:r>
    </w:p>
    <w:tbl>
      <w:tblPr>
        <w:tblW w:w="9100" w:type="dxa"/>
        <w:tblInd w:w="-28" w:type="dxa"/>
        <w:tblCellMar>
          <w:left w:w="70" w:type="dxa"/>
          <w:right w:w="70" w:type="dxa"/>
        </w:tblCellMar>
        <w:tblLook w:val="04A0" w:firstRow="1" w:lastRow="0" w:firstColumn="1" w:lastColumn="0" w:noHBand="0" w:noVBand="1"/>
      </w:tblPr>
      <w:tblGrid>
        <w:gridCol w:w="4848"/>
        <w:gridCol w:w="4252"/>
      </w:tblGrid>
      <w:tr w:rsidR="001468B9" w:rsidRPr="001468B9" w:rsidTr="00934B87">
        <w:trPr>
          <w:trHeight w:val="300"/>
        </w:trPr>
        <w:tc>
          <w:tcPr>
            <w:tcW w:w="4848" w:type="dxa"/>
            <w:tcBorders>
              <w:top w:val="nil"/>
              <w:left w:val="nil"/>
              <w:bottom w:val="nil"/>
              <w:right w:val="nil"/>
            </w:tcBorders>
            <w:shd w:val="clear" w:color="auto" w:fill="auto"/>
            <w:noWrap/>
            <w:vAlign w:val="bottom"/>
            <w:hideMark/>
          </w:tcPr>
          <w:p w:rsidR="001468B9" w:rsidRPr="001468B9" w:rsidRDefault="001468B9" w:rsidP="001468B9">
            <w:pPr>
              <w:spacing w:line="240" w:lineRule="auto"/>
              <w:rPr>
                <w:rFonts w:ascii="Times New Roman" w:hAnsi="Times New Roman"/>
                <w:sz w:val="20"/>
              </w:rPr>
            </w:pPr>
          </w:p>
        </w:tc>
        <w:tc>
          <w:tcPr>
            <w:tcW w:w="4252" w:type="dxa"/>
            <w:tcBorders>
              <w:top w:val="nil"/>
              <w:left w:val="nil"/>
              <w:bottom w:val="nil"/>
              <w:right w:val="nil"/>
            </w:tcBorders>
            <w:shd w:val="clear" w:color="auto" w:fill="auto"/>
            <w:noWrap/>
            <w:vAlign w:val="bottom"/>
            <w:hideMark/>
          </w:tcPr>
          <w:p w:rsidR="001468B9" w:rsidRPr="001468B9" w:rsidRDefault="001468B9" w:rsidP="001468B9">
            <w:pPr>
              <w:spacing w:line="240" w:lineRule="auto"/>
              <w:rPr>
                <w:rFonts w:ascii="Times New Roman" w:hAnsi="Times New Roman"/>
                <w:sz w:val="20"/>
              </w:rPr>
            </w:pPr>
          </w:p>
        </w:tc>
      </w:tr>
      <w:tr w:rsidR="001468B9" w:rsidRPr="001468B9" w:rsidTr="00934B87">
        <w:trPr>
          <w:trHeight w:val="510"/>
        </w:trPr>
        <w:tc>
          <w:tcPr>
            <w:tcW w:w="48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468B9" w:rsidRPr="001468B9" w:rsidRDefault="001468B9" w:rsidP="001468B9">
            <w:pPr>
              <w:spacing w:line="240" w:lineRule="auto"/>
              <w:rPr>
                <w:rFonts w:cs="Arial"/>
                <w:color w:val="000000"/>
                <w:sz w:val="20"/>
              </w:rPr>
            </w:pPr>
            <w:r w:rsidRPr="001468B9">
              <w:rPr>
                <w:rFonts w:cs="Arial"/>
                <w:color w:val="000000"/>
                <w:sz w:val="20"/>
              </w:rPr>
              <w:t xml:space="preserve">Beratungsstelle </w:t>
            </w:r>
          </w:p>
        </w:tc>
        <w:tc>
          <w:tcPr>
            <w:tcW w:w="4252" w:type="dxa"/>
            <w:tcBorders>
              <w:top w:val="single" w:sz="4" w:space="0" w:color="auto"/>
              <w:left w:val="nil"/>
              <w:bottom w:val="single" w:sz="4" w:space="0" w:color="auto"/>
              <w:right w:val="single" w:sz="4" w:space="0" w:color="auto"/>
            </w:tcBorders>
            <w:shd w:val="clear" w:color="000000" w:fill="F2F2F2"/>
            <w:vAlign w:val="center"/>
            <w:hideMark/>
          </w:tcPr>
          <w:p w:rsidR="001468B9" w:rsidRPr="001468B9" w:rsidRDefault="001468B9" w:rsidP="001468B9">
            <w:pPr>
              <w:spacing w:line="240" w:lineRule="auto"/>
              <w:rPr>
                <w:rFonts w:cs="Arial"/>
                <w:color w:val="000000"/>
                <w:sz w:val="20"/>
              </w:rPr>
            </w:pPr>
            <w:r w:rsidRPr="001468B9">
              <w:rPr>
                <w:rFonts w:cs="Arial"/>
                <w:color w:val="000000"/>
                <w:sz w:val="20"/>
              </w:rPr>
              <w:t>Wartezeit in Tagen zum Stand 31.12.2022</w:t>
            </w:r>
          </w:p>
        </w:tc>
      </w:tr>
      <w:tr w:rsidR="001468B9" w:rsidRPr="001468B9" w:rsidTr="00934B87">
        <w:trPr>
          <w:trHeight w:val="282"/>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ADN Schuldner- und Insolvenzberatung gGmbH</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22</w:t>
            </w:r>
          </w:p>
        </w:tc>
      </w:tr>
      <w:tr w:rsidR="001468B9" w:rsidRPr="001468B9" w:rsidTr="00934B87">
        <w:trPr>
          <w:trHeight w:val="282"/>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afg worknet Schuldnerberatung gGmbH</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194</w:t>
            </w:r>
          </w:p>
        </w:tc>
      </w:tr>
      <w:tr w:rsidR="001468B9" w:rsidRPr="001468B9" w:rsidTr="00934B87">
        <w:trPr>
          <w:trHeight w:val="414"/>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Aktive Suchthilfe e.V.</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 xml:space="preserve">Aktuell können keine neuen </w:t>
            </w:r>
            <w:r w:rsidR="0056657D">
              <w:rPr>
                <w:rFonts w:cs="Arial"/>
                <w:color w:val="000000"/>
                <w:sz w:val="20"/>
              </w:rPr>
              <w:t>Kundinnen/</w:t>
            </w:r>
            <w:r w:rsidRPr="001468B9">
              <w:rPr>
                <w:rFonts w:cs="Arial"/>
                <w:color w:val="000000"/>
                <w:sz w:val="20"/>
              </w:rPr>
              <w:t>Kunden aufgenommen werden</w:t>
            </w:r>
            <w:r w:rsidR="00FA508C">
              <w:rPr>
                <w:rFonts w:cs="Arial"/>
                <w:color w:val="000000"/>
                <w:sz w:val="20"/>
              </w:rPr>
              <w:t>.</w:t>
            </w:r>
          </w:p>
        </w:tc>
      </w:tr>
      <w:tr w:rsidR="001468B9" w:rsidRPr="001468B9" w:rsidTr="00934B87">
        <w:trPr>
          <w:trHeight w:val="519"/>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 xml:space="preserve">anw-nord GmbH (Nachfolge Roder &amp; </w:t>
            </w:r>
            <w:r w:rsidRPr="001468B9">
              <w:rPr>
                <w:rFonts w:cs="Arial"/>
                <w:color w:val="000000"/>
                <w:sz w:val="20"/>
              </w:rPr>
              <w:br/>
              <w:t>Förter-Vondey GbRSchuldnerberatung)</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28</w:t>
            </w:r>
          </w:p>
        </w:tc>
      </w:tr>
      <w:tr w:rsidR="001468B9" w:rsidRPr="001468B9" w:rsidTr="00934B87">
        <w:trPr>
          <w:trHeight w:val="272"/>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AWO AQtivus Servicegesellschaft gGmbH</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170</w:t>
            </w:r>
          </w:p>
        </w:tc>
      </w:tr>
      <w:tr w:rsidR="001468B9" w:rsidRPr="001468B9" w:rsidTr="00934B87">
        <w:trPr>
          <w:trHeight w:val="300"/>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B.O.E.R.S.E. e.V.</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14</w:t>
            </w:r>
          </w:p>
        </w:tc>
      </w:tr>
      <w:tr w:rsidR="001468B9" w:rsidRPr="001468B9" w:rsidTr="00934B87">
        <w:trPr>
          <w:trHeight w:val="534"/>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 xml:space="preserve">Deutsches Rotes Kreuz - </w:t>
            </w:r>
            <w:r w:rsidRPr="001468B9">
              <w:rPr>
                <w:rFonts w:cs="Arial"/>
                <w:color w:val="000000"/>
                <w:sz w:val="20"/>
              </w:rPr>
              <w:br/>
              <w:t xml:space="preserve">Gesellschaft für soziale Beratung und Hilfe mbH </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68</w:t>
            </w:r>
          </w:p>
        </w:tc>
      </w:tr>
      <w:tr w:rsidR="001468B9" w:rsidRPr="001468B9" w:rsidTr="00934B87">
        <w:trPr>
          <w:trHeight w:val="273"/>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Diakonisches Werk Schuldnerberatung</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66</w:t>
            </w:r>
          </w:p>
        </w:tc>
      </w:tr>
      <w:tr w:rsidR="001468B9" w:rsidRPr="001468B9" w:rsidTr="00934B87">
        <w:trPr>
          <w:trHeight w:val="300"/>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Fürstenberg Institut GmbH</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Keine</w:t>
            </w:r>
          </w:p>
        </w:tc>
      </w:tr>
      <w:tr w:rsidR="001468B9" w:rsidRPr="001468B9" w:rsidTr="00934B87">
        <w:trPr>
          <w:trHeight w:val="522"/>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 xml:space="preserve">Grone-Bildungszentrum für Qualifizierung und Integration Hamburg GmbH </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30</w:t>
            </w:r>
          </w:p>
        </w:tc>
      </w:tr>
      <w:tr w:rsidR="001468B9" w:rsidRPr="001468B9" w:rsidTr="00934B87">
        <w:trPr>
          <w:trHeight w:val="275"/>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hamburger arbeit GmbH</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145 (aktuelle Wartezeit 26.01.</w:t>
            </w:r>
            <w:r w:rsidR="003637F8">
              <w:rPr>
                <w:rFonts w:cs="Arial"/>
                <w:color w:val="000000"/>
                <w:sz w:val="20"/>
              </w:rPr>
              <w:t>20</w:t>
            </w:r>
            <w:r w:rsidRPr="001468B9">
              <w:rPr>
                <w:rFonts w:cs="Arial"/>
                <w:color w:val="000000"/>
                <w:sz w:val="20"/>
              </w:rPr>
              <w:t>23 - 65 Tage)</w:t>
            </w:r>
          </w:p>
        </w:tc>
      </w:tr>
      <w:tr w:rsidR="001468B9" w:rsidRPr="001468B9" w:rsidTr="00934B87">
        <w:trPr>
          <w:trHeight w:val="279"/>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pro humana</w:t>
            </w:r>
            <w:r w:rsidR="00934B87">
              <w:rPr>
                <w:rFonts w:cs="Arial"/>
                <w:color w:val="000000"/>
                <w:sz w:val="20"/>
              </w:rPr>
              <w:t xml:space="preserve"> </w:t>
            </w:r>
            <w:r w:rsidRPr="001468B9">
              <w:rPr>
                <w:rFonts w:cs="Arial"/>
                <w:color w:val="000000"/>
                <w:sz w:val="20"/>
              </w:rPr>
              <w:t>Schuldner- und Insolvenzberatung e.V.</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0</w:t>
            </w:r>
          </w:p>
        </w:tc>
      </w:tr>
      <w:tr w:rsidR="001468B9" w:rsidRPr="001468B9" w:rsidTr="00934B87">
        <w:trPr>
          <w:trHeight w:val="300"/>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Schuldenhilfe Sofort e.V</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14</w:t>
            </w:r>
          </w:p>
        </w:tc>
      </w:tr>
      <w:tr w:rsidR="001468B9" w:rsidRPr="001468B9" w:rsidTr="00934B87">
        <w:trPr>
          <w:trHeight w:val="205"/>
        </w:trPr>
        <w:tc>
          <w:tcPr>
            <w:tcW w:w="484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Verbraucherzentrale Hamburg e. V.</w:t>
            </w:r>
          </w:p>
        </w:tc>
        <w:tc>
          <w:tcPr>
            <w:tcW w:w="4252" w:type="dxa"/>
            <w:tcBorders>
              <w:top w:val="nil"/>
              <w:left w:val="nil"/>
              <w:bottom w:val="single" w:sz="4" w:space="0" w:color="auto"/>
              <w:right w:val="single" w:sz="4" w:space="0" w:color="auto"/>
            </w:tcBorders>
            <w:shd w:val="clear" w:color="auto" w:fill="auto"/>
            <w:hideMark/>
          </w:tcPr>
          <w:p w:rsidR="001468B9" w:rsidRPr="001468B9" w:rsidRDefault="001468B9" w:rsidP="00687815">
            <w:pPr>
              <w:spacing w:line="240" w:lineRule="auto"/>
              <w:rPr>
                <w:rFonts w:cs="Arial"/>
                <w:color w:val="000000"/>
                <w:sz w:val="20"/>
              </w:rPr>
            </w:pPr>
            <w:r w:rsidRPr="001468B9">
              <w:rPr>
                <w:rFonts w:cs="Arial"/>
                <w:color w:val="000000"/>
                <w:sz w:val="20"/>
              </w:rPr>
              <w:t>113</w:t>
            </w:r>
          </w:p>
        </w:tc>
      </w:tr>
    </w:tbl>
    <w:p w:rsidR="00E833F7" w:rsidRDefault="00E833F7" w:rsidP="001468B9">
      <w:pPr>
        <w:spacing w:before="240" w:line="240" w:lineRule="auto"/>
        <w:jc w:val="both"/>
        <w:outlineLvl w:val="2"/>
        <w:rPr>
          <w:rFonts w:eastAsia="Arial" w:cs="Arial"/>
          <w:sz w:val="20"/>
          <w:lang w:eastAsia="zh-CN"/>
        </w:rPr>
      </w:pPr>
      <w:r w:rsidRPr="00E833F7">
        <w:rPr>
          <w:rFonts w:eastAsia="Arial" w:cs="Arial"/>
          <w:sz w:val="20"/>
          <w:lang w:eastAsia="zh-CN"/>
        </w:rPr>
        <w:t>Die Wartezeit wird nicht nur durch die Beratungskapazitäten der Schuldnerberatungsstellen beeinflusst, sondern beispielsweise auch durch Terminverschiebungen, die auf den Wunsch der Ratsuchenden zurückgehen, sowie durch sonstige Faktoren, die nicht im Einflussbereich der Schuldnerberatungsstellen liegen. So kommt es immer wieder vor, dass eigentlich geplante und terminierte Beratungen erst später als vereinbart stattfinden können, weil die Ratsuchenden z. B. aufgrund medizinischer oder therapeutischer Behandlung längere Zeit nicht verfügbar sind</w:t>
      </w:r>
    </w:p>
    <w:p w:rsidR="001468B9" w:rsidRPr="001468B9" w:rsidRDefault="001468B9" w:rsidP="001468B9">
      <w:pPr>
        <w:spacing w:before="240" w:line="240" w:lineRule="auto"/>
        <w:jc w:val="both"/>
        <w:outlineLvl w:val="2"/>
        <w:rPr>
          <w:rFonts w:eastAsia="Arial" w:cs="Arial"/>
          <w:sz w:val="20"/>
          <w:lang w:eastAsia="zh-CN"/>
        </w:rPr>
      </w:pPr>
      <w:r w:rsidRPr="001468B9">
        <w:rPr>
          <w:rFonts w:eastAsia="Arial" w:cs="Arial"/>
          <w:sz w:val="20"/>
          <w:lang w:eastAsia="zh-CN"/>
        </w:rPr>
        <w:t>Die nicht öffentlich geförderten Schuldner- und Insolvenzberatungsstellen sind nicht verpflichtet, über Wartezeiten zu berichten und haben diesbezüglich auch andere Verfahren als die geförderten Beratungsstellen (bspw. vorgegebene Beratungsmodule).</w:t>
      </w:r>
    </w:p>
    <w:p w:rsidR="001468B9" w:rsidRPr="001468B9" w:rsidRDefault="001468B9" w:rsidP="001468B9">
      <w:pPr>
        <w:spacing w:before="240" w:line="240" w:lineRule="auto"/>
        <w:jc w:val="both"/>
        <w:outlineLvl w:val="2"/>
        <w:rPr>
          <w:rFonts w:eastAsia="Arial" w:cs="Arial"/>
          <w:sz w:val="20"/>
          <w:lang w:eastAsia="zh-CN"/>
        </w:rPr>
      </w:pPr>
      <w:r w:rsidRPr="001468B9">
        <w:rPr>
          <w:rFonts w:eastAsia="Arial" w:cs="Arial"/>
          <w:sz w:val="20"/>
          <w:lang w:eastAsia="zh-CN"/>
        </w:rPr>
        <w:t xml:space="preserve">Die bei den geförderten Beratungsstellen (siehe: </w:t>
      </w:r>
      <w:hyperlink r:id="rId8" w:history="1">
        <w:r w:rsidRPr="001468B9">
          <w:rPr>
            <w:rFonts w:eastAsia="Arial" w:cs="Arial"/>
            <w:color w:val="000000"/>
            <w:sz w:val="20"/>
            <w:lang w:eastAsia="zh-CN"/>
          </w:rPr>
          <w:t>https://www.hamburg.de/beratungsstellen/128472/beratung-11-5-sgb12/</w:t>
        </w:r>
      </w:hyperlink>
      <w:r w:rsidRPr="001468B9">
        <w:rPr>
          <w:rFonts w:eastAsia="Arial" w:cs="Arial"/>
          <w:sz w:val="20"/>
          <w:lang w:eastAsia="zh-CN"/>
        </w:rPr>
        <w:t xml:space="preserve">) angegebene durchschnittliche Wartezeit bis zum Beginn der weiterführenden Beratung, ist ein rechnerischer Wert und bezeichnet den Zeitraum zwischen der Anmeldung der Ratsuchenden für das Erstgespräch des weiterführenden Moduls und dem Zeitpunkt, an dem dieses Erstgespräch tatsächlich stattfindet. </w:t>
      </w:r>
    </w:p>
    <w:p w:rsidR="001468B9" w:rsidRPr="001468B9" w:rsidRDefault="001468B9" w:rsidP="001468B9">
      <w:pPr>
        <w:pStyle w:val="Frage-Nummerierung1"/>
        <w:numPr>
          <w:ilvl w:val="0"/>
          <w:numId w:val="0"/>
        </w:numPr>
        <w:spacing w:before="0"/>
        <w:ind w:left="1588" w:hanging="1588"/>
        <w:rPr>
          <w:i w:val="0"/>
        </w:rPr>
      </w:pPr>
    </w:p>
    <w:p w:rsidR="00934E5F" w:rsidRDefault="00934E5F" w:rsidP="00934E5F">
      <w:pPr>
        <w:pStyle w:val="Frage-Nummerierung1"/>
        <w:spacing w:before="0"/>
        <w:ind w:left="1701" w:hanging="1701"/>
      </w:pPr>
      <w:r>
        <w:t>Bei welchen Schuldnerberatungsstellen wurden seit Juni 2021 die Beratungskapazitäten um wie viele VZÄ aufgestockt? Bitte nach Bezirken, Beratungsstellen und VZÄ angeben.</w:t>
      </w:r>
    </w:p>
    <w:p w:rsidR="001468B9" w:rsidRDefault="001468B9" w:rsidP="001468B9">
      <w:pPr>
        <w:pStyle w:val="Frage-Nummerierung1"/>
        <w:numPr>
          <w:ilvl w:val="0"/>
          <w:numId w:val="0"/>
        </w:numPr>
        <w:spacing w:before="0"/>
        <w:ind w:left="1588" w:hanging="1588"/>
      </w:pPr>
    </w:p>
    <w:p w:rsidR="001468B9" w:rsidRPr="00FE4E95" w:rsidRDefault="001468B9" w:rsidP="001468B9">
      <w:pPr>
        <w:spacing w:line="240" w:lineRule="auto"/>
        <w:jc w:val="both"/>
        <w:outlineLvl w:val="2"/>
        <w:rPr>
          <w:rFonts w:eastAsia="Arial" w:cs="Arial"/>
          <w:sz w:val="20"/>
          <w:lang w:eastAsia="en-US"/>
        </w:rPr>
      </w:pPr>
      <w:r w:rsidRPr="00FE4E95">
        <w:rPr>
          <w:rFonts w:eastAsia="Arial" w:cs="Arial"/>
          <w:sz w:val="20"/>
          <w:lang w:eastAsia="en-US"/>
        </w:rPr>
        <w:t xml:space="preserve">Zahl der Beratungskräfte der Schuldnerberatungsstellen: </w:t>
      </w:r>
    </w:p>
    <w:tbl>
      <w:tblPr>
        <w:tblW w:w="9242" w:type="dxa"/>
        <w:tblInd w:w="-28" w:type="dxa"/>
        <w:tblCellMar>
          <w:left w:w="70" w:type="dxa"/>
          <w:right w:w="70" w:type="dxa"/>
        </w:tblCellMar>
        <w:tblLook w:val="04A0" w:firstRow="1" w:lastRow="0" w:firstColumn="1" w:lastColumn="0" w:noHBand="0" w:noVBand="1"/>
      </w:tblPr>
      <w:tblGrid>
        <w:gridCol w:w="5698"/>
        <w:gridCol w:w="1701"/>
        <w:gridCol w:w="1843"/>
      </w:tblGrid>
      <w:tr w:rsidR="001468B9" w:rsidRPr="001468B9" w:rsidTr="00934B87">
        <w:trPr>
          <w:trHeight w:val="300"/>
        </w:trPr>
        <w:tc>
          <w:tcPr>
            <w:tcW w:w="5698" w:type="dxa"/>
            <w:tcBorders>
              <w:top w:val="nil"/>
              <w:left w:val="nil"/>
              <w:bottom w:val="nil"/>
              <w:right w:val="nil"/>
            </w:tcBorders>
            <w:shd w:val="clear" w:color="auto" w:fill="auto"/>
            <w:noWrap/>
            <w:vAlign w:val="bottom"/>
            <w:hideMark/>
          </w:tcPr>
          <w:p w:rsidR="001468B9" w:rsidRPr="001468B9" w:rsidRDefault="001468B9" w:rsidP="001468B9">
            <w:pPr>
              <w:spacing w:line="240" w:lineRule="auto"/>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1468B9" w:rsidRPr="001468B9" w:rsidRDefault="001468B9" w:rsidP="001468B9">
            <w:pPr>
              <w:spacing w:line="240" w:lineRule="auto"/>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1468B9" w:rsidRPr="001468B9" w:rsidRDefault="001468B9" w:rsidP="001468B9">
            <w:pPr>
              <w:spacing w:line="240" w:lineRule="auto"/>
              <w:rPr>
                <w:rFonts w:ascii="Times New Roman" w:hAnsi="Times New Roman"/>
                <w:sz w:val="20"/>
              </w:rPr>
            </w:pPr>
          </w:p>
        </w:tc>
      </w:tr>
      <w:tr w:rsidR="001468B9" w:rsidRPr="001468B9" w:rsidTr="00934B87">
        <w:trPr>
          <w:trHeight w:val="470"/>
        </w:trPr>
        <w:tc>
          <w:tcPr>
            <w:tcW w:w="5698"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1468B9" w:rsidRPr="001468B9" w:rsidRDefault="001468B9" w:rsidP="001468B9">
            <w:pPr>
              <w:spacing w:line="240" w:lineRule="auto"/>
              <w:rPr>
                <w:rFonts w:cs="Arial"/>
                <w:color w:val="000000"/>
                <w:sz w:val="20"/>
              </w:rPr>
            </w:pPr>
            <w:r w:rsidRPr="001468B9">
              <w:rPr>
                <w:rFonts w:cs="Arial"/>
                <w:color w:val="000000"/>
                <w:sz w:val="20"/>
              </w:rPr>
              <w:t>Beratungsstelle</w:t>
            </w:r>
          </w:p>
        </w:tc>
        <w:tc>
          <w:tcPr>
            <w:tcW w:w="3544" w:type="dxa"/>
            <w:gridSpan w:val="2"/>
            <w:tcBorders>
              <w:top w:val="single" w:sz="4" w:space="0" w:color="auto"/>
              <w:left w:val="nil"/>
              <w:bottom w:val="single" w:sz="4" w:space="0" w:color="auto"/>
              <w:right w:val="single" w:sz="4" w:space="0" w:color="auto"/>
            </w:tcBorders>
            <w:shd w:val="clear" w:color="000000" w:fill="F2F2F2"/>
            <w:vAlign w:val="bottom"/>
            <w:hideMark/>
          </w:tcPr>
          <w:p w:rsidR="001468B9" w:rsidRPr="001468B9" w:rsidRDefault="001468B9" w:rsidP="001468B9">
            <w:pPr>
              <w:spacing w:line="240" w:lineRule="auto"/>
              <w:jc w:val="center"/>
              <w:rPr>
                <w:rFonts w:cs="Arial"/>
                <w:color w:val="000000"/>
                <w:sz w:val="20"/>
              </w:rPr>
            </w:pPr>
            <w:r w:rsidRPr="001468B9">
              <w:rPr>
                <w:rFonts w:cs="Arial"/>
                <w:color w:val="000000"/>
                <w:sz w:val="20"/>
              </w:rPr>
              <w:t>Beratungskräfte (Stellenanteile) zum Stichtag in Vollzeitäquivalenten (VZÄ)</w:t>
            </w:r>
          </w:p>
        </w:tc>
      </w:tr>
      <w:tr w:rsidR="001468B9" w:rsidRPr="001468B9" w:rsidTr="00934B87">
        <w:trPr>
          <w:trHeight w:val="58"/>
        </w:trPr>
        <w:tc>
          <w:tcPr>
            <w:tcW w:w="5698" w:type="dxa"/>
            <w:vMerge/>
            <w:tcBorders>
              <w:top w:val="single" w:sz="4" w:space="0" w:color="auto"/>
              <w:left w:val="single" w:sz="4" w:space="0" w:color="auto"/>
              <w:bottom w:val="single" w:sz="4" w:space="0" w:color="000000"/>
              <w:right w:val="single" w:sz="4" w:space="0" w:color="auto"/>
            </w:tcBorders>
            <w:vAlign w:val="center"/>
            <w:hideMark/>
          </w:tcPr>
          <w:p w:rsidR="001468B9" w:rsidRPr="001468B9" w:rsidRDefault="001468B9" w:rsidP="001468B9">
            <w:pPr>
              <w:spacing w:line="240" w:lineRule="auto"/>
              <w:rPr>
                <w:rFonts w:cs="Arial"/>
                <w:color w:val="000000"/>
                <w:sz w:val="20"/>
              </w:rPr>
            </w:pPr>
          </w:p>
        </w:tc>
        <w:tc>
          <w:tcPr>
            <w:tcW w:w="1701" w:type="dxa"/>
            <w:tcBorders>
              <w:top w:val="nil"/>
              <w:left w:val="nil"/>
              <w:bottom w:val="single" w:sz="4" w:space="0" w:color="auto"/>
              <w:right w:val="single" w:sz="4" w:space="0" w:color="auto"/>
            </w:tcBorders>
            <w:shd w:val="clear" w:color="000000" w:fill="F2F2F2"/>
            <w:noWrap/>
            <w:vAlign w:val="bottom"/>
            <w:hideMark/>
          </w:tcPr>
          <w:p w:rsidR="001468B9" w:rsidRPr="001468B9" w:rsidRDefault="001468B9" w:rsidP="001468B9">
            <w:pPr>
              <w:spacing w:line="240" w:lineRule="auto"/>
              <w:jc w:val="center"/>
              <w:rPr>
                <w:rFonts w:cs="Arial"/>
                <w:color w:val="000000"/>
                <w:sz w:val="20"/>
              </w:rPr>
            </w:pPr>
            <w:r w:rsidRPr="001468B9">
              <w:rPr>
                <w:rFonts w:cs="Arial"/>
                <w:color w:val="000000"/>
                <w:sz w:val="20"/>
              </w:rPr>
              <w:t>30.06.2021</w:t>
            </w:r>
          </w:p>
        </w:tc>
        <w:tc>
          <w:tcPr>
            <w:tcW w:w="1843" w:type="dxa"/>
            <w:tcBorders>
              <w:top w:val="nil"/>
              <w:left w:val="nil"/>
              <w:bottom w:val="single" w:sz="4" w:space="0" w:color="auto"/>
              <w:right w:val="single" w:sz="4" w:space="0" w:color="auto"/>
            </w:tcBorders>
            <w:shd w:val="clear" w:color="000000" w:fill="F2F2F2"/>
            <w:noWrap/>
            <w:vAlign w:val="bottom"/>
            <w:hideMark/>
          </w:tcPr>
          <w:p w:rsidR="001468B9" w:rsidRPr="001468B9" w:rsidRDefault="001468B9" w:rsidP="001468B9">
            <w:pPr>
              <w:spacing w:line="240" w:lineRule="auto"/>
              <w:jc w:val="center"/>
              <w:rPr>
                <w:rFonts w:cs="Arial"/>
                <w:color w:val="000000"/>
                <w:sz w:val="20"/>
              </w:rPr>
            </w:pPr>
            <w:r w:rsidRPr="001468B9">
              <w:rPr>
                <w:rFonts w:cs="Arial"/>
                <w:color w:val="000000"/>
                <w:sz w:val="20"/>
              </w:rPr>
              <w:t>31.12.2022</w:t>
            </w:r>
          </w:p>
        </w:tc>
      </w:tr>
      <w:tr w:rsidR="001468B9" w:rsidRPr="001468B9" w:rsidTr="00934B87">
        <w:trPr>
          <w:trHeight w:val="311"/>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ADN Schuldner- und Insolvenzberatung gGmbH</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3,5</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3,5</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afg worknet Schuldnerberatung gGmbH</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7,61</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8,61</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Aktive Suchthilfe e.V.</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3</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3</w:t>
            </w:r>
          </w:p>
        </w:tc>
      </w:tr>
      <w:tr w:rsidR="001468B9" w:rsidRPr="001468B9" w:rsidTr="00934B87">
        <w:trPr>
          <w:trHeight w:val="65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 xml:space="preserve">anw-nord GmbH (Nachfolge Roder &amp; </w:t>
            </w:r>
            <w:r w:rsidRPr="001468B9">
              <w:rPr>
                <w:rFonts w:cs="Arial"/>
                <w:color w:val="000000"/>
                <w:sz w:val="20"/>
              </w:rPr>
              <w:br/>
              <w:t>Förter-Vondey GbRSchuldnerberatung - Stellen in 2021 für Roder&amp;Förter Vondey angegeben)</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2,2</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2,5</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AWO AQtivus Servicegesellschaft gGmbH</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2,5</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4</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B.O.E.R.S.E. e.V.</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2,4</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2</w:t>
            </w:r>
          </w:p>
        </w:tc>
      </w:tr>
      <w:tr w:rsidR="001468B9" w:rsidRPr="001468B9" w:rsidTr="00934B87">
        <w:trPr>
          <w:trHeight w:val="424"/>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 xml:space="preserve">Deutsches Rotes Kreuz - </w:t>
            </w:r>
            <w:r w:rsidRPr="001468B9">
              <w:rPr>
                <w:rFonts w:cs="Arial"/>
                <w:color w:val="000000"/>
                <w:sz w:val="20"/>
              </w:rPr>
              <w:br/>
              <w:t xml:space="preserve">Gesellschaft für soziale Beratung und Hilfe mbH </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8,13</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7,38</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Diakonisches Werk Schuldnerberatung</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8,35</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8,5</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Fürstenberg Institut GmbH</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2 (Teilzeit)</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3 (Teilzeit)</w:t>
            </w:r>
          </w:p>
        </w:tc>
      </w:tr>
      <w:tr w:rsidR="001468B9" w:rsidRPr="001468B9" w:rsidTr="00934B87">
        <w:trPr>
          <w:trHeight w:val="517"/>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Grone-Bildungszentrum für Qualifizierung und Integration Hamburg GmbH (erst seit August 2022 aktiv)</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0</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3</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hamburger arbeit GmbH</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6,51</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7,43</w:t>
            </w:r>
          </w:p>
        </w:tc>
      </w:tr>
      <w:tr w:rsidR="001468B9" w:rsidRPr="001468B9" w:rsidTr="00934B87">
        <w:trPr>
          <w:trHeight w:val="245"/>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pro humana</w:t>
            </w:r>
            <w:r w:rsidR="00934B87">
              <w:rPr>
                <w:rFonts w:cs="Arial"/>
                <w:color w:val="000000"/>
                <w:sz w:val="20"/>
              </w:rPr>
              <w:t xml:space="preserve"> </w:t>
            </w:r>
            <w:r w:rsidRPr="001468B9">
              <w:rPr>
                <w:rFonts w:cs="Arial"/>
                <w:color w:val="000000"/>
                <w:sz w:val="20"/>
              </w:rPr>
              <w:t>Schuldner- und Insolvenzberatung e.V.</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3</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3</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Schuldenhilfe Sofort e.V</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3</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3,5</w:t>
            </w:r>
          </w:p>
        </w:tc>
      </w:tr>
      <w:tr w:rsidR="001468B9" w:rsidRPr="001468B9" w:rsidTr="00934B87">
        <w:trPr>
          <w:trHeight w:val="300"/>
        </w:trPr>
        <w:tc>
          <w:tcPr>
            <w:tcW w:w="5698" w:type="dxa"/>
            <w:tcBorders>
              <w:top w:val="nil"/>
              <w:left w:val="single" w:sz="4" w:space="0" w:color="auto"/>
              <w:bottom w:val="single" w:sz="4" w:space="0" w:color="auto"/>
              <w:right w:val="single" w:sz="4" w:space="0" w:color="auto"/>
            </w:tcBorders>
            <w:shd w:val="clear" w:color="auto" w:fill="auto"/>
            <w:hideMark/>
          </w:tcPr>
          <w:p w:rsidR="001468B9" w:rsidRPr="001468B9" w:rsidRDefault="001468B9" w:rsidP="003637F8">
            <w:pPr>
              <w:spacing w:line="240" w:lineRule="auto"/>
              <w:rPr>
                <w:rFonts w:cs="Arial"/>
                <w:color w:val="000000"/>
                <w:sz w:val="20"/>
              </w:rPr>
            </w:pPr>
            <w:r w:rsidRPr="001468B9">
              <w:rPr>
                <w:rFonts w:cs="Arial"/>
                <w:color w:val="000000"/>
                <w:sz w:val="20"/>
              </w:rPr>
              <w:t>Verbraucherzentrale Hamburg e. V.</w:t>
            </w:r>
          </w:p>
        </w:tc>
        <w:tc>
          <w:tcPr>
            <w:tcW w:w="1701"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08"/>
              <w:jc w:val="right"/>
              <w:rPr>
                <w:rFonts w:cs="Arial"/>
                <w:color w:val="000000"/>
                <w:sz w:val="20"/>
              </w:rPr>
            </w:pPr>
            <w:r w:rsidRPr="001468B9">
              <w:rPr>
                <w:rFonts w:cs="Arial"/>
                <w:color w:val="000000"/>
                <w:sz w:val="20"/>
              </w:rPr>
              <w:t>7,43</w:t>
            </w:r>
          </w:p>
        </w:tc>
        <w:tc>
          <w:tcPr>
            <w:tcW w:w="1843" w:type="dxa"/>
            <w:tcBorders>
              <w:top w:val="nil"/>
              <w:left w:val="nil"/>
              <w:bottom w:val="single" w:sz="4" w:space="0" w:color="auto"/>
              <w:right w:val="single" w:sz="4" w:space="0" w:color="auto"/>
            </w:tcBorders>
            <w:shd w:val="clear" w:color="auto" w:fill="auto"/>
            <w:hideMark/>
          </w:tcPr>
          <w:p w:rsidR="001468B9" w:rsidRPr="001468B9" w:rsidRDefault="001468B9" w:rsidP="00934B87">
            <w:pPr>
              <w:spacing w:line="240" w:lineRule="auto"/>
              <w:ind w:right="213"/>
              <w:jc w:val="right"/>
              <w:rPr>
                <w:rFonts w:cs="Arial"/>
                <w:color w:val="000000"/>
                <w:sz w:val="20"/>
              </w:rPr>
            </w:pPr>
            <w:r w:rsidRPr="001468B9">
              <w:rPr>
                <w:rFonts w:cs="Arial"/>
                <w:color w:val="000000"/>
                <w:sz w:val="20"/>
              </w:rPr>
              <w:t>7,85</w:t>
            </w:r>
          </w:p>
        </w:tc>
      </w:tr>
      <w:tr w:rsidR="001468B9" w:rsidRPr="001468B9" w:rsidTr="00934B87">
        <w:trPr>
          <w:trHeight w:val="300"/>
        </w:trPr>
        <w:tc>
          <w:tcPr>
            <w:tcW w:w="5698" w:type="dxa"/>
            <w:tcBorders>
              <w:top w:val="nil"/>
              <w:left w:val="nil"/>
              <w:bottom w:val="nil"/>
              <w:right w:val="nil"/>
            </w:tcBorders>
            <w:shd w:val="clear" w:color="auto" w:fill="auto"/>
            <w:noWrap/>
            <w:vAlign w:val="bottom"/>
          </w:tcPr>
          <w:p w:rsidR="001468B9" w:rsidRPr="001468B9" w:rsidRDefault="001468B9" w:rsidP="001468B9">
            <w:pPr>
              <w:spacing w:line="240" w:lineRule="auto"/>
              <w:rPr>
                <w:rFonts w:cs="Arial"/>
                <w:color w:val="000000"/>
                <w:sz w:val="20"/>
              </w:rPr>
            </w:pPr>
          </w:p>
        </w:tc>
        <w:tc>
          <w:tcPr>
            <w:tcW w:w="1701" w:type="dxa"/>
            <w:tcBorders>
              <w:top w:val="nil"/>
              <w:left w:val="nil"/>
              <w:bottom w:val="nil"/>
              <w:right w:val="nil"/>
            </w:tcBorders>
            <w:shd w:val="clear" w:color="auto" w:fill="auto"/>
            <w:noWrap/>
            <w:vAlign w:val="bottom"/>
          </w:tcPr>
          <w:p w:rsidR="001468B9" w:rsidRPr="001468B9" w:rsidRDefault="001468B9" w:rsidP="001468B9">
            <w:pPr>
              <w:spacing w:line="240" w:lineRule="auto"/>
              <w:rPr>
                <w:rFonts w:cs="Arial"/>
                <w:color w:val="000000"/>
                <w:sz w:val="20"/>
              </w:rPr>
            </w:pPr>
          </w:p>
        </w:tc>
        <w:tc>
          <w:tcPr>
            <w:tcW w:w="1843" w:type="dxa"/>
            <w:tcBorders>
              <w:top w:val="nil"/>
              <w:left w:val="nil"/>
              <w:bottom w:val="nil"/>
              <w:right w:val="nil"/>
            </w:tcBorders>
            <w:shd w:val="clear" w:color="auto" w:fill="auto"/>
            <w:noWrap/>
            <w:vAlign w:val="bottom"/>
            <w:hideMark/>
          </w:tcPr>
          <w:p w:rsidR="001468B9" w:rsidRPr="001468B9" w:rsidRDefault="001468B9" w:rsidP="001468B9">
            <w:pPr>
              <w:spacing w:line="240" w:lineRule="auto"/>
              <w:rPr>
                <w:rFonts w:ascii="Times New Roman" w:hAnsi="Times New Roman"/>
                <w:sz w:val="20"/>
              </w:rPr>
            </w:pPr>
          </w:p>
        </w:tc>
      </w:tr>
    </w:tbl>
    <w:p w:rsidR="001468B9" w:rsidRPr="001468B9" w:rsidRDefault="001468B9" w:rsidP="00934B87">
      <w:pPr>
        <w:spacing w:line="240" w:lineRule="auto"/>
        <w:jc w:val="both"/>
        <w:outlineLvl w:val="2"/>
        <w:rPr>
          <w:rFonts w:eastAsia="Arial"/>
          <w:i/>
          <w:sz w:val="20"/>
          <w:lang w:eastAsia="en-US"/>
        </w:rPr>
      </w:pPr>
      <w:r w:rsidRPr="001468B9">
        <w:rPr>
          <w:rFonts w:eastAsia="Arial" w:cs="Arial"/>
          <w:sz w:val="20"/>
          <w:lang w:eastAsia="en-US"/>
        </w:rPr>
        <w:t>Eine Aufteilung nach Bezirken ist nicht möglich, da einige Beratungsstellen über mehrere Standorte verfügen.</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Bei welchen Schuldnerberatungsstellen wurden zur Abwicklung des Härtefallfonds Beratungskapazitäten um wie viele VZÄ aufgestockt? Bitte nach Bezirken, Beratungsstellen und VZÄ angeben.</w:t>
      </w:r>
    </w:p>
    <w:p w:rsidR="001468B9" w:rsidRPr="00FE4E95" w:rsidRDefault="001468B9" w:rsidP="001468B9">
      <w:pPr>
        <w:spacing w:before="240" w:line="240" w:lineRule="auto"/>
        <w:jc w:val="both"/>
        <w:outlineLvl w:val="2"/>
        <w:rPr>
          <w:rFonts w:eastAsia="Arial" w:cs="Arial"/>
          <w:sz w:val="20"/>
          <w:lang w:eastAsia="en-US"/>
        </w:rPr>
      </w:pPr>
      <w:r w:rsidRPr="00FE4E95">
        <w:rPr>
          <w:rFonts w:eastAsia="Arial" w:cs="Arial"/>
          <w:sz w:val="20"/>
          <w:lang w:eastAsia="en-US"/>
        </w:rPr>
        <w:t xml:space="preserve">Aufstockung Personalkapazitäten in den geförderten Schuldnerberatungsstellen zur Umsetzung Härtefallfonds: </w:t>
      </w:r>
    </w:p>
    <w:p w:rsidR="001468B9" w:rsidRPr="001468B9" w:rsidRDefault="001468B9" w:rsidP="001468B9">
      <w:pPr>
        <w:spacing w:before="240" w:line="240" w:lineRule="auto"/>
        <w:ind w:left="1616" w:hanging="1588"/>
        <w:jc w:val="both"/>
        <w:outlineLvl w:val="2"/>
        <w:rPr>
          <w:rFonts w:eastAsia="Arial"/>
          <w:sz w:val="20"/>
          <w:lang w:eastAsia="en-US"/>
        </w:rPr>
      </w:pPr>
    </w:p>
    <w:tbl>
      <w:tblPr>
        <w:tblW w:w="6804" w:type="dxa"/>
        <w:tblInd w:w="-5" w:type="dxa"/>
        <w:tblCellMar>
          <w:left w:w="70" w:type="dxa"/>
          <w:right w:w="70" w:type="dxa"/>
        </w:tblCellMar>
        <w:tblLook w:val="04A0" w:firstRow="1" w:lastRow="0" w:firstColumn="1" w:lastColumn="0" w:noHBand="0" w:noVBand="1"/>
      </w:tblPr>
      <w:tblGrid>
        <w:gridCol w:w="3969"/>
        <w:gridCol w:w="2835"/>
      </w:tblGrid>
      <w:tr w:rsidR="001468B9" w:rsidRPr="001468B9" w:rsidTr="00934B87">
        <w:trPr>
          <w:trHeight w:val="365"/>
        </w:trPr>
        <w:tc>
          <w:tcPr>
            <w:tcW w:w="396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468B9" w:rsidRPr="001468B9" w:rsidRDefault="001468B9" w:rsidP="001468B9">
            <w:pPr>
              <w:spacing w:line="240" w:lineRule="auto"/>
              <w:rPr>
                <w:rFonts w:cs="Arial"/>
                <w:color w:val="000000"/>
                <w:sz w:val="20"/>
              </w:rPr>
            </w:pPr>
            <w:r w:rsidRPr="001468B9">
              <w:rPr>
                <w:rFonts w:cs="Arial"/>
                <w:color w:val="000000"/>
                <w:sz w:val="20"/>
              </w:rPr>
              <w:t>Beratungsstelle</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rsidR="001468B9" w:rsidRPr="001468B9" w:rsidRDefault="001468B9" w:rsidP="001468B9">
            <w:pPr>
              <w:spacing w:line="240" w:lineRule="auto"/>
              <w:jc w:val="center"/>
              <w:rPr>
                <w:rFonts w:cs="Arial"/>
                <w:color w:val="000000"/>
                <w:sz w:val="20"/>
              </w:rPr>
            </w:pPr>
            <w:r w:rsidRPr="001468B9">
              <w:rPr>
                <w:rFonts w:cs="Arial"/>
                <w:color w:val="000000"/>
                <w:sz w:val="20"/>
              </w:rPr>
              <w:t>zusätzliche Kapazität in VZÄ</w:t>
            </w:r>
          </w:p>
        </w:tc>
      </w:tr>
      <w:tr w:rsidR="001468B9" w:rsidRPr="001468B9" w:rsidTr="00934B87">
        <w:trPr>
          <w:trHeight w:val="27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afg worknet Schuldnerberatung gGmbH</w:t>
            </w:r>
          </w:p>
        </w:tc>
        <w:tc>
          <w:tcPr>
            <w:tcW w:w="2835"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0,675</w:t>
            </w:r>
          </w:p>
        </w:tc>
      </w:tr>
      <w:tr w:rsidR="001468B9" w:rsidRPr="001468B9" w:rsidTr="00934B87">
        <w:trPr>
          <w:trHeight w:val="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AWO AQtivus Servicegesellschaft gGmbH</w:t>
            </w:r>
          </w:p>
        </w:tc>
        <w:tc>
          <w:tcPr>
            <w:tcW w:w="2835"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0,75</w:t>
            </w:r>
          </w:p>
        </w:tc>
      </w:tr>
      <w:tr w:rsidR="001468B9" w:rsidRPr="001468B9" w:rsidTr="00934B87">
        <w:trPr>
          <w:trHeight w:val="70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 xml:space="preserve">Deutsches Rotes Kreuz - </w:t>
            </w:r>
            <w:r w:rsidRPr="001468B9">
              <w:rPr>
                <w:rFonts w:cs="Arial"/>
                <w:color w:val="000000"/>
                <w:sz w:val="20"/>
              </w:rPr>
              <w:br/>
              <w:t xml:space="preserve">Gesellschaft für soziale Beratung und Hilfe mbH </w:t>
            </w:r>
          </w:p>
        </w:tc>
        <w:tc>
          <w:tcPr>
            <w:tcW w:w="2835"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1</w:t>
            </w:r>
          </w:p>
        </w:tc>
      </w:tr>
      <w:tr w:rsidR="001468B9" w:rsidRPr="001468B9" w:rsidTr="00934B87">
        <w:trPr>
          <w:trHeight w:val="26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Diakonisches Werk Schuldnerberatung</w:t>
            </w:r>
          </w:p>
        </w:tc>
        <w:tc>
          <w:tcPr>
            <w:tcW w:w="2835"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0,5</w:t>
            </w:r>
          </w:p>
        </w:tc>
      </w:tr>
      <w:tr w:rsidR="001468B9" w:rsidRPr="001468B9" w:rsidTr="00934B87">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hamburger arbeit GmbH</w:t>
            </w:r>
          </w:p>
        </w:tc>
        <w:tc>
          <w:tcPr>
            <w:tcW w:w="2835"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0,5</w:t>
            </w:r>
          </w:p>
        </w:tc>
      </w:tr>
      <w:tr w:rsidR="001468B9" w:rsidRPr="001468B9" w:rsidTr="00934B87">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Schuldenhilfe Sofort e.V</w:t>
            </w:r>
          </w:p>
        </w:tc>
        <w:tc>
          <w:tcPr>
            <w:tcW w:w="2835"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0,5</w:t>
            </w:r>
          </w:p>
        </w:tc>
      </w:tr>
      <w:tr w:rsidR="001468B9" w:rsidRPr="001468B9" w:rsidTr="00934B87">
        <w:trPr>
          <w:trHeight w:val="27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468B9" w:rsidRPr="001468B9" w:rsidRDefault="001468B9" w:rsidP="001468B9">
            <w:pPr>
              <w:spacing w:line="240" w:lineRule="auto"/>
              <w:rPr>
                <w:rFonts w:cs="Arial"/>
                <w:color w:val="000000"/>
                <w:sz w:val="20"/>
              </w:rPr>
            </w:pPr>
            <w:r w:rsidRPr="001468B9">
              <w:rPr>
                <w:rFonts w:cs="Arial"/>
                <w:color w:val="000000"/>
                <w:sz w:val="20"/>
              </w:rPr>
              <w:t>Verbraucherzentrale Hamburg e. V.</w:t>
            </w:r>
          </w:p>
        </w:tc>
        <w:tc>
          <w:tcPr>
            <w:tcW w:w="2835" w:type="dxa"/>
            <w:tcBorders>
              <w:top w:val="nil"/>
              <w:left w:val="nil"/>
              <w:bottom w:val="single" w:sz="4" w:space="0" w:color="auto"/>
              <w:right w:val="single" w:sz="4" w:space="0" w:color="auto"/>
            </w:tcBorders>
            <w:shd w:val="clear" w:color="auto" w:fill="auto"/>
            <w:noWrap/>
            <w:vAlign w:val="bottom"/>
            <w:hideMark/>
          </w:tcPr>
          <w:p w:rsidR="001468B9" w:rsidRPr="001468B9" w:rsidRDefault="001468B9" w:rsidP="001468B9">
            <w:pPr>
              <w:spacing w:line="240" w:lineRule="auto"/>
              <w:jc w:val="right"/>
              <w:rPr>
                <w:rFonts w:cs="Arial"/>
                <w:color w:val="000000"/>
                <w:sz w:val="20"/>
              </w:rPr>
            </w:pPr>
            <w:r w:rsidRPr="001468B9">
              <w:rPr>
                <w:rFonts w:cs="Arial"/>
                <w:color w:val="000000"/>
                <w:sz w:val="20"/>
              </w:rPr>
              <w:t>0,46</w:t>
            </w:r>
          </w:p>
        </w:tc>
      </w:tr>
    </w:tbl>
    <w:p w:rsidR="001468B9" w:rsidRPr="001468B9" w:rsidRDefault="00F73484" w:rsidP="001468B9">
      <w:pPr>
        <w:spacing w:before="240" w:line="240" w:lineRule="auto"/>
        <w:ind w:left="1616" w:hanging="1588"/>
        <w:jc w:val="both"/>
        <w:outlineLvl w:val="2"/>
        <w:rPr>
          <w:rFonts w:eastAsia="Arial"/>
          <w:sz w:val="20"/>
          <w:lang w:eastAsia="en-US"/>
        </w:rPr>
      </w:pPr>
      <w:r>
        <w:rPr>
          <w:rFonts w:eastAsia="Arial" w:cs="Arial"/>
          <w:sz w:val="20"/>
          <w:lang w:eastAsia="en-US"/>
        </w:rPr>
        <w:t>Im Übrigen</w:t>
      </w:r>
      <w:r w:rsidR="001468B9" w:rsidRPr="001468B9">
        <w:rPr>
          <w:rFonts w:eastAsia="Arial" w:cs="Arial"/>
          <w:sz w:val="20"/>
          <w:lang w:eastAsia="en-US"/>
        </w:rPr>
        <w:t xml:space="preserve"> siehe auch Antwort zu 14</w:t>
      </w:r>
      <w:r w:rsidR="001468B9" w:rsidRPr="001468B9">
        <w:rPr>
          <w:rFonts w:eastAsia="Arial"/>
          <w:sz w:val="20"/>
          <w:lang w:eastAsia="en-US"/>
        </w:rPr>
        <w:t>.</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numPr>
          <w:ilvl w:val="0"/>
          <w:numId w:val="0"/>
        </w:numPr>
        <w:spacing w:before="0"/>
        <w:ind w:left="1701" w:hanging="1701"/>
      </w:pPr>
      <w:r w:rsidRPr="00934E5F">
        <w:rPr>
          <w:b/>
        </w:rPr>
        <w:t>Vorbemerkung:</w:t>
      </w:r>
      <w:r>
        <w:tab/>
        <w:t>Bereits im März 2022 hat die Bürgerschaft auf Antrag der Regierungskoalition erneut mit den Energiegrundversorgern im Rahmen des „Runden Tisches zur Vermeidung von Strom-, Gas- und Wassersperrungen“ Härtefallregelungen für Fälle zur Verhinderung von Energie-sperren diskutiert. Der Bürgerschaft sollte hierzu bis Ende September 2022 ein entsprechender Bericht vorgelegt werden. Im November 2022 hat der Sozialausschuss auf Antrag der Fraktion DIE LINKE ei-ne Selbstbefassung zum Thema „Auswirkungen und Inflation Energiekrise“ durchgeführt. Auf Nachfrage der Abgeordneten der Fraktion DIE LINKE zum Härtefallfonds, wiesen die Senatsvertreter:innen darauf hin, dass der Härtefallfonds der Sozialbehörde von dem der Umweltbehörde abzugrenzen sei. Dabei handele es sich um unterschiedliche Hilfen.</w:t>
      </w:r>
    </w:p>
    <w:p w:rsidR="00934E5F" w:rsidRDefault="00934E5F" w:rsidP="00934E5F">
      <w:pPr>
        <w:pStyle w:val="Frage-Nummerierung1"/>
        <w:spacing w:before="0"/>
        <w:ind w:left="1701" w:hanging="1701"/>
      </w:pPr>
      <w:r>
        <w:t xml:space="preserve">Ist der Härtefallfonds in Zuständigkeit der Umweltbehörde bereits eingerichtet? </w:t>
      </w:r>
    </w:p>
    <w:p w:rsidR="00934E5F" w:rsidRDefault="00934E5F" w:rsidP="00934E5F">
      <w:pPr>
        <w:pStyle w:val="Frage-Nummerierung1"/>
        <w:numPr>
          <w:ilvl w:val="0"/>
          <w:numId w:val="0"/>
        </w:numPr>
        <w:spacing w:before="0"/>
        <w:ind w:left="1701"/>
      </w:pPr>
      <w:r>
        <w:t xml:space="preserve">Wenn ja, wo finden sich entsprechende Informationen? </w:t>
      </w:r>
    </w:p>
    <w:p w:rsidR="00934E5F" w:rsidRDefault="00934E5F" w:rsidP="00DC7838">
      <w:pPr>
        <w:pStyle w:val="Frage-Nummerierung1"/>
        <w:numPr>
          <w:ilvl w:val="0"/>
          <w:numId w:val="0"/>
        </w:numPr>
        <w:spacing w:before="0"/>
        <w:ind w:left="1701"/>
      </w:pPr>
      <w:r>
        <w:t>Wenn nein, soll dies noch geschehen oder wie ist der Stand der Planungen?</w:t>
      </w:r>
    </w:p>
    <w:p w:rsidR="00934E5F" w:rsidRDefault="00934E5F" w:rsidP="00934E5F">
      <w:pPr>
        <w:pStyle w:val="Frage-Nummerierung1"/>
        <w:spacing w:before="0"/>
        <w:ind w:left="1701" w:hanging="1701"/>
      </w:pPr>
      <w:r>
        <w:t>Inwieweit unterscheidet sich der Härtefallfonds zur Vermeidung von Energiesperren der Sozialbehörde von dem Härtefallfonds der Umweltbehörde?</w:t>
      </w:r>
    </w:p>
    <w:p w:rsidR="00DC7838" w:rsidRPr="00DC7838" w:rsidRDefault="00DC7838" w:rsidP="00DC7838">
      <w:pPr>
        <w:spacing w:before="240" w:line="240" w:lineRule="auto"/>
        <w:jc w:val="both"/>
        <w:outlineLvl w:val="2"/>
        <w:rPr>
          <w:rFonts w:eastAsia="Arial"/>
          <w:sz w:val="20"/>
          <w:lang w:eastAsia="en-US"/>
        </w:rPr>
      </w:pPr>
      <w:r w:rsidRPr="00DC7838">
        <w:rPr>
          <w:rFonts w:eastAsia="Arial"/>
          <w:sz w:val="20"/>
          <w:lang w:eastAsia="en-US"/>
        </w:rPr>
        <w:t>Die Senatsvertreterinnen und -vertreter haben in der Sitzung des Sozialausschusses am 1. November 2022 zum Thema „Auswirkungen und Inflation Energiekrise“ nicht auf einen weiteren Härtefallfonds in Hamburg hingewiesen. Unabhängig davon arbeitet die Bundesregierung derzeit mit den Ländern an einer Verwaltungsvereinbarung zu Härtefallhilfen für Öl- und Pelletheizungen von Endverbraucherinnen und -verbrauchern. Der Bund hat den Ländern für Härtefalllösungen Mittel zur Verfügung gestellt.</w:t>
      </w:r>
    </w:p>
    <w:p w:rsidR="00934E5F" w:rsidRDefault="00934E5F" w:rsidP="00934E5F">
      <w:pPr>
        <w:pStyle w:val="Frage-Nummerierung1"/>
        <w:numPr>
          <w:ilvl w:val="0"/>
          <w:numId w:val="0"/>
        </w:numPr>
        <w:spacing w:before="0"/>
        <w:ind w:left="1588" w:hanging="1588"/>
      </w:pPr>
    </w:p>
    <w:p w:rsidR="00934E5F" w:rsidRDefault="00934E5F" w:rsidP="00934E5F">
      <w:pPr>
        <w:pStyle w:val="Frage-Nummerierung1"/>
        <w:spacing w:before="0"/>
        <w:ind w:left="1701" w:hanging="1701"/>
      </w:pPr>
      <w:r>
        <w:t xml:space="preserve">Wurde bereits eine zentrale Ansprechstelle aufseiten des Stromgrundversorgers für die Mitarbeitenden der anerkannten Schuldnerberatungsstellen eingerichtet? </w:t>
      </w:r>
    </w:p>
    <w:p w:rsidR="00934E5F" w:rsidRDefault="00934E5F" w:rsidP="00934E5F">
      <w:pPr>
        <w:pStyle w:val="Frage-Nummerierung1"/>
        <w:numPr>
          <w:ilvl w:val="0"/>
          <w:numId w:val="0"/>
        </w:numPr>
        <w:spacing w:before="0"/>
        <w:ind w:left="1701"/>
      </w:pPr>
      <w:r>
        <w:t xml:space="preserve">Wenn ja, wann? </w:t>
      </w:r>
    </w:p>
    <w:p w:rsidR="00DC7838" w:rsidRPr="0056657D" w:rsidRDefault="00934E5F" w:rsidP="0056657D">
      <w:pPr>
        <w:pStyle w:val="Frage-Nummerierung1"/>
        <w:numPr>
          <w:ilvl w:val="0"/>
          <w:numId w:val="0"/>
        </w:numPr>
        <w:spacing w:before="0"/>
        <w:ind w:left="1701"/>
      </w:pPr>
      <w:r>
        <w:t>Wenn nein, warum nicht?</w:t>
      </w:r>
    </w:p>
    <w:p w:rsidR="00934E5F" w:rsidRDefault="00934E5F" w:rsidP="00934E5F">
      <w:pPr>
        <w:pStyle w:val="Frage-Nummerierung1"/>
        <w:spacing w:before="0"/>
        <w:ind w:left="1701" w:hanging="1701"/>
      </w:pPr>
      <w:r>
        <w:t>Wenn bereits eine zentrale Ansprechstelle aufseiten des Stromgrundversorgers für die anerkannten Schuldnerberatungsstellen eingerichtet wurde, wie bewerten Stromgrundversorger und Schuldnerberatungs-stellen die Zusammenarbeit?</w:t>
      </w:r>
    </w:p>
    <w:p w:rsidR="0056657D" w:rsidRDefault="0056657D" w:rsidP="0056657D">
      <w:pPr>
        <w:spacing w:before="240" w:line="240" w:lineRule="auto"/>
        <w:jc w:val="both"/>
        <w:outlineLvl w:val="2"/>
        <w:rPr>
          <w:rFonts w:eastAsia="Arial"/>
          <w:sz w:val="20"/>
          <w:lang w:eastAsia="en-US"/>
        </w:rPr>
      </w:pPr>
      <w:r w:rsidRPr="0056657D">
        <w:rPr>
          <w:rFonts w:eastAsia="Arial"/>
          <w:sz w:val="20"/>
          <w:lang w:eastAsia="en-US"/>
        </w:rPr>
        <w:t>Die zentrale Hotline steht bereits seit 2020 zur Verfügung.</w:t>
      </w:r>
    </w:p>
    <w:p w:rsidR="00DC7838" w:rsidRPr="0056657D" w:rsidRDefault="00DC7838" w:rsidP="0056657D">
      <w:pPr>
        <w:spacing w:before="240" w:line="240" w:lineRule="auto"/>
        <w:jc w:val="both"/>
        <w:outlineLvl w:val="2"/>
        <w:rPr>
          <w:rFonts w:eastAsia="Arial"/>
          <w:sz w:val="20"/>
          <w:lang w:eastAsia="en-US"/>
        </w:rPr>
      </w:pPr>
      <w:r w:rsidRPr="00DC7838">
        <w:rPr>
          <w:rFonts w:eastAsia="Arial"/>
          <w:sz w:val="20"/>
          <w:lang w:eastAsia="en-US"/>
        </w:rPr>
        <w:t xml:space="preserve">Die Zusammenarbeit </w:t>
      </w:r>
      <w:r w:rsidR="0003283E">
        <w:rPr>
          <w:rFonts w:eastAsia="Arial"/>
          <w:sz w:val="20"/>
          <w:lang w:eastAsia="en-US"/>
        </w:rPr>
        <w:t xml:space="preserve">wird </w:t>
      </w:r>
      <w:r w:rsidR="0056657D">
        <w:rPr>
          <w:rFonts w:eastAsia="Arial"/>
          <w:sz w:val="20"/>
          <w:lang w:eastAsia="en-US"/>
        </w:rPr>
        <w:t>seitens</w:t>
      </w:r>
      <w:r w:rsidRPr="00DC7838">
        <w:rPr>
          <w:rFonts w:eastAsia="Arial"/>
          <w:sz w:val="20"/>
          <w:lang w:eastAsia="en-US"/>
        </w:rPr>
        <w:t xml:space="preserve"> Vattenfall als sehr gut und kooperativ bewertet. </w:t>
      </w:r>
      <w:r w:rsidRPr="00DC7838">
        <w:rPr>
          <w:rFonts w:eastAsia="Arial" w:cs="Arial"/>
          <w:sz w:val="20"/>
          <w:lang w:eastAsia="en-US"/>
        </w:rPr>
        <w:t xml:space="preserve">Von Seiten der Schuldnerberatungsstellen sind die ersten Erfahrungen in der Zusammenarbeit </w:t>
      </w:r>
      <w:r w:rsidR="0003283E">
        <w:rPr>
          <w:rFonts w:eastAsia="Arial" w:cs="Arial"/>
          <w:sz w:val="20"/>
          <w:lang w:eastAsia="en-US"/>
        </w:rPr>
        <w:t xml:space="preserve">ebenfalls </w:t>
      </w:r>
      <w:r w:rsidRPr="00DC7838">
        <w:rPr>
          <w:rFonts w:eastAsia="Arial" w:cs="Arial"/>
          <w:sz w:val="20"/>
          <w:lang w:eastAsia="en-US"/>
        </w:rPr>
        <w:t>positiv. Eine Sonder-Hotline-Nummer des Stromgrundversorgers für die Beschäftigten der Schuldnerberatungsstellen wurde am 25.</w:t>
      </w:r>
      <w:r w:rsidR="0056657D">
        <w:rPr>
          <w:rFonts w:eastAsia="Arial" w:cs="Arial"/>
          <w:sz w:val="20"/>
          <w:lang w:eastAsia="en-US"/>
        </w:rPr>
        <w:t xml:space="preserve"> November </w:t>
      </w:r>
      <w:r w:rsidRPr="00DC7838">
        <w:rPr>
          <w:rFonts w:eastAsia="Arial" w:cs="Arial"/>
          <w:sz w:val="20"/>
          <w:lang w:eastAsia="en-US"/>
        </w:rPr>
        <w:t>2022 mitgeteilt</w:t>
      </w:r>
      <w:r w:rsidR="0003283E">
        <w:rPr>
          <w:rFonts w:eastAsia="Arial" w:cs="Arial"/>
          <w:sz w:val="20"/>
          <w:lang w:eastAsia="en-US"/>
        </w:rPr>
        <w:t>. Durch Nutzung dieser Nummer können</w:t>
      </w:r>
      <w:r w:rsidRPr="00DC7838">
        <w:rPr>
          <w:rFonts w:eastAsia="Arial" w:cs="Arial"/>
          <w:sz w:val="20"/>
          <w:lang w:eastAsia="en-US"/>
        </w:rPr>
        <w:t xml:space="preserve"> die Schuldnerberatungsstellen die Anliegen der vorsprechenden Person unmittelbar und ohne Wartezeit insbesondere in Hinblick auf die Umsetzung des Härtefallfonds klären. </w:t>
      </w:r>
    </w:p>
    <w:p w:rsidR="00DC7838" w:rsidRPr="00DC7838" w:rsidRDefault="00DC7838" w:rsidP="00DC7838">
      <w:pPr>
        <w:pStyle w:val="Frage-Nummerierung1"/>
        <w:numPr>
          <w:ilvl w:val="0"/>
          <w:numId w:val="0"/>
        </w:numPr>
        <w:spacing w:before="0"/>
        <w:rPr>
          <w:i w:val="0"/>
        </w:rPr>
      </w:pPr>
    </w:p>
    <w:sectPr w:rsidR="00DC7838" w:rsidRPr="00DC7838" w:rsidSect="00643A4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F36" w:rsidRDefault="00AB5F36">
      <w:r>
        <w:separator/>
      </w:r>
    </w:p>
  </w:endnote>
  <w:endnote w:type="continuationSeparator" w:id="0">
    <w:p w:rsidR="00AB5F36" w:rsidRDefault="00A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93" w:rsidRPr="00250993" w:rsidRDefault="00250993">
    <w:pPr>
      <w:pStyle w:val="Fuzeile"/>
      <w:rPr>
        <w:rFonts w:cs="Arial"/>
        <w:sz w:val="20"/>
      </w:rPr>
    </w:pPr>
    <w:r>
      <w:rPr>
        <w:rFonts w:cs="Arial"/>
        <w:sz w:val="20"/>
      </w:rPr>
      <w:t>22-10794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93" w:rsidRPr="00250993" w:rsidRDefault="00250993">
    <w:pPr>
      <w:pStyle w:val="Fuzeile"/>
      <w:rPr>
        <w:rFonts w:cs="Arial"/>
        <w:sz w:val="20"/>
      </w:rPr>
    </w:pPr>
    <w:r>
      <w:rPr>
        <w:rFonts w:cs="Arial"/>
        <w:sz w:val="20"/>
      </w:rPr>
      <w:t>22-10794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93" w:rsidRPr="00250993" w:rsidRDefault="00250993">
    <w:pPr>
      <w:pStyle w:val="Fuzeile"/>
      <w:rPr>
        <w:rFonts w:cs="Arial"/>
        <w:sz w:val="20"/>
      </w:rPr>
    </w:pPr>
    <w:r>
      <w:rPr>
        <w:rFonts w:cs="Arial"/>
        <w:sz w:val="20"/>
      </w:rPr>
      <w:t>22-10794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F36" w:rsidRDefault="00AB5F36">
      <w:r>
        <w:separator/>
      </w:r>
    </w:p>
  </w:footnote>
  <w:footnote w:type="continuationSeparator" w:id="0">
    <w:p w:rsidR="00AB5F36" w:rsidRDefault="00A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38" w:rsidRDefault="00DC783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C7838" w:rsidRDefault="00DC78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38" w:rsidRDefault="00DC783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C7838" w:rsidRDefault="00DC78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93" w:rsidRDefault="002509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9"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9D543E9"/>
    <w:multiLevelType w:val="hybridMultilevel"/>
    <w:tmpl w:val="EED0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0071EF"/>
    <w:multiLevelType w:val="multilevel"/>
    <w:tmpl w:val="A216C180"/>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3"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4" w15:restartNumberingAfterBreak="0">
    <w:nsid w:val="68B4059C"/>
    <w:multiLevelType w:val="multilevel"/>
    <w:tmpl w:val="DC484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5"/>
  </w:num>
  <w:num w:numId="4">
    <w:abstractNumId w:val="15"/>
  </w:num>
  <w:num w:numId="5">
    <w:abstractNumId w:val="0"/>
  </w:num>
  <w:num w:numId="6">
    <w:abstractNumId w:val="9"/>
  </w:num>
  <w:num w:numId="7">
    <w:abstractNumId w:val="7"/>
  </w:num>
  <w:num w:numId="8">
    <w:abstractNumId w:val="1"/>
  </w:num>
  <w:num w:numId="9">
    <w:abstractNumId w:val="4"/>
  </w:num>
  <w:num w:numId="10">
    <w:abstractNumId w:val="11"/>
  </w:num>
  <w:num w:numId="11">
    <w:abstractNumId w:val="6"/>
  </w:num>
  <w:num w:numId="12">
    <w:abstractNumId w:val="2"/>
  </w:num>
  <w:num w:numId="13">
    <w:abstractNumId w:val="17"/>
  </w:num>
  <w:num w:numId="14">
    <w:abstractNumId w:val="3"/>
  </w:num>
  <w:num w:numId="15">
    <w:abstractNumId w:val="12"/>
    <w:lvlOverride w:ilvl="0">
      <w:lvl w:ilvl="0">
        <w:start w:val="1"/>
        <w:numFmt w:val="decimal"/>
        <w:pStyle w:val="Frage-Nummerierung1"/>
        <w:lvlText w:val="Frage %1:"/>
        <w:lvlJc w:val="left"/>
        <w:pPr>
          <w:ind w:left="1588" w:hanging="1588"/>
        </w:pPr>
        <w:rPr>
          <w:rFonts w:ascii="Arial" w:hAnsi="Arial" w:cs="Arial" w:hint="default"/>
          <w:b/>
          <w:i/>
        </w:rPr>
      </w:lvl>
    </w:lvlOverride>
  </w:num>
  <w:num w:numId="16">
    <w:abstractNumId w:val="12"/>
  </w:num>
  <w:num w:numId="17">
    <w:abstractNumId w:val="12"/>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8">
    <w:abstractNumId w:val="10"/>
  </w:num>
  <w:num w:numId="19">
    <w:abstractNumId w:val="12"/>
    <w:lvlOverride w:ilvl="0">
      <w:lvl w:ilvl="0">
        <w:start w:val="1"/>
        <w:numFmt w:val="decimal"/>
        <w:pStyle w:val="Frage-Nummerierung1"/>
        <w:lvlText w:val="Frage %1:"/>
        <w:lvlJc w:val="left"/>
        <w:pPr>
          <w:ind w:left="1588" w:hanging="1588"/>
        </w:pPr>
        <w:rPr>
          <w:rFonts w:ascii="Arial" w:hAnsi="Arial" w:cs="Arial" w:hint="default"/>
          <w:b/>
          <w:i/>
        </w:rPr>
      </w:lvl>
    </w:lvlOverride>
  </w:num>
  <w:num w:numId="20">
    <w:abstractNumId w:val="12"/>
    <w:lvlOverride w:ilvl="0">
      <w:lvl w:ilvl="0">
        <w:start w:val="1"/>
        <w:numFmt w:val="decimal"/>
        <w:pStyle w:val="Frage-Nummerierung1"/>
        <w:lvlText w:val="Frage %1:"/>
        <w:lvlJc w:val="left"/>
        <w:pPr>
          <w:ind w:left="1588" w:hanging="1588"/>
        </w:pPr>
        <w:rPr>
          <w:rFonts w:ascii="Arial" w:hAnsi="Arial" w:cs="Arial" w:hint="default"/>
          <w:b/>
          <w:i/>
        </w:rPr>
      </w:lvl>
    </w:lvlOverride>
  </w:num>
  <w:num w:numId="21">
    <w:abstractNumId w:val="13"/>
    <w:lvlOverride w:ilvl="0">
      <w:lvl w:ilvl="0">
        <w:start w:val="1"/>
        <w:numFmt w:val="none"/>
        <w:pStyle w:val="FrageVorbemerkung"/>
        <w:lvlText w:val="Vorbemerkung:"/>
        <w:lvlJc w:val="left"/>
        <w:pPr>
          <w:ind w:left="1588" w:hanging="1588"/>
        </w:pPr>
        <w:rPr>
          <w:rFonts w:hint="default"/>
          <w:b/>
          <w:i/>
          <w:lang w:val="de-DE"/>
        </w:rPr>
      </w:lvl>
    </w:lvlOverride>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7A"/>
    <w:rsid w:val="00000BA4"/>
    <w:rsid w:val="00002ADB"/>
    <w:rsid w:val="00006B01"/>
    <w:rsid w:val="000153C0"/>
    <w:rsid w:val="0003283E"/>
    <w:rsid w:val="00042C45"/>
    <w:rsid w:val="00052B45"/>
    <w:rsid w:val="00063BAB"/>
    <w:rsid w:val="000674B4"/>
    <w:rsid w:val="00067E30"/>
    <w:rsid w:val="00075324"/>
    <w:rsid w:val="0007709A"/>
    <w:rsid w:val="00092C03"/>
    <w:rsid w:val="00096553"/>
    <w:rsid w:val="000A1FFC"/>
    <w:rsid w:val="000A2056"/>
    <w:rsid w:val="000B46F8"/>
    <w:rsid w:val="000C3A4A"/>
    <w:rsid w:val="000D6698"/>
    <w:rsid w:val="000E1DD9"/>
    <w:rsid w:val="000E5856"/>
    <w:rsid w:val="000F5FD7"/>
    <w:rsid w:val="001140FF"/>
    <w:rsid w:val="00132576"/>
    <w:rsid w:val="0014555A"/>
    <w:rsid w:val="0014568A"/>
    <w:rsid w:val="001468B9"/>
    <w:rsid w:val="00157343"/>
    <w:rsid w:val="00167437"/>
    <w:rsid w:val="00167C09"/>
    <w:rsid w:val="0018345B"/>
    <w:rsid w:val="001939A2"/>
    <w:rsid w:val="001A79A7"/>
    <w:rsid w:val="001C2007"/>
    <w:rsid w:val="001C39F0"/>
    <w:rsid w:val="001C4CA7"/>
    <w:rsid w:val="001D52E6"/>
    <w:rsid w:val="001D592B"/>
    <w:rsid w:val="001E436D"/>
    <w:rsid w:val="001E6C76"/>
    <w:rsid w:val="001E7334"/>
    <w:rsid w:val="00204E84"/>
    <w:rsid w:val="00215750"/>
    <w:rsid w:val="00217D86"/>
    <w:rsid w:val="00224F9D"/>
    <w:rsid w:val="002403F4"/>
    <w:rsid w:val="002448EA"/>
    <w:rsid w:val="00250993"/>
    <w:rsid w:val="00250D0E"/>
    <w:rsid w:val="002555B2"/>
    <w:rsid w:val="00256A80"/>
    <w:rsid w:val="002638A5"/>
    <w:rsid w:val="00282058"/>
    <w:rsid w:val="0028669D"/>
    <w:rsid w:val="00286B3E"/>
    <w:rsid w:val="00290512"/>
    <w:rsid w:val="002B5F4E"/>
    <w:rsid w:val="002B7DA9"/>
    <w:rsid w:val="002D2ED6"/>
    <w:rsid w:val="002E4182"/>
    <w:rsid w:val="00321A6D"/>
    <w:rsid w:val="00331604"/>
    <w:rsid w:val="00346C8D"/>
    <w:rsid w:val="0035759C"/>
    <w:rsid w:val="003620F6"/>
    <w:rsid w:val="003637F8"/>
    <w:rsid w:val="0036553B"/>
    <w:rsid w:val="00367466"/>
    <w:rsid w:val="00376E14"/>
    <w:rsid w:val="00377E1B"/>
    <w:rsid w:val="003B194F"/>
    <w:rsid w:val="003B6051"/>
    <w:rsid w:val="003D22DC"/>
    <w:rsid w:val="003D5029"/>
    <w:rsid w:val="003E2E94"/>
    <w:rsid w:val="003E643A"/>
    <w:rsid w:val="003F234C"/>
    <w:rsid w:val="003F4D15"/>
    <w:rsid w:val="00403255"/>
    <w:rsid w:val="00416643"/>
    <w:rsid w:val="00434CA6"/>
    <w:rsid w:val="00440907"/>
    <w:rsid w:val="00440E25"/>
    <w:rsid w:val="00441997"/>
    <w:rsid w:val="00455B4A"/>
    <w:rsid w:val="0047117F"/>
    <w:rsid w:val="0049211A"/>
    <w:rsid w:val="004952B7"/>
    <w:rsid w:val="00497078"/>
    <w:rsid w:val="004A1A07"/>
    <w:rsid w:val="004A40F4"/>
    <w:rsid w:val="004D6179"/>
    <w:rsid w:val="004D6ECF"/>
    <w:rsid w:val="004E1956"/>
    <w:rsid w:val="004E4D95"/>
    <w:rsid w:val="005015DA"/>
    <w:rsid w:val="00517DC6"/>
    <w:rsid w:val="00520509"/>
    <w:rsid w:val="0053116B"/>
    <w:rsid w:val="005600C0"/>
    <w:rsid w:val="00564EF0"/>
    <w:rsid w:val="0056657D"/>
    <w:rsid w:val="00593BF6"/>
    <w:rsid w:val="005978D7"/>
    <w:rsid w:val="005B15FB"/>
    <w:rsid w:val="005C0F17"/>
    <w:rsid w:val="005D1542"/>
    <w:rsid w:val="005E007B"/>
    <w:rsid w:val="005E2F3F"/>
    <w:rsid w:val="005F4080"/>
    <w:rsid w:val="0060396F"/>
    <w:rsid w:val="00605711"/>
    <w:rsid w:val="00611767"/>
    <w:rsid w:val="0061361E"/>
    <w:rsid w:val="00617EA5"/>
    <w:rsid w:val="00625469"/>
    <w:rsid w:val="0063137A"/>
    <w:rsid w:val="00636D80"/>
    <w:rsid w:val="00640BDE"/>
    <w:rsid w:val="00643A4E"/>
    <w:rsid w:val="00651A02"/>
    <w:rsid w:val="00657703"/>
    <w:rsid w:val="006579BB"/>
    <w:rsid w:val="00660E47"/>
    <w:rsid w:val="00676229"/>
    <w:rsid w:val="0067649B"/>
    <w:rsid w:val="00682416"/>
    <w:rsid w:val="00687815"/>
    <w:rsid w:val="00694FB5"/>
    <w:rsid w:val="006951DB"/>
    <w:rsid w:val="006A193C"/>
    <w:rsid w:val="006B1093"/>
    <w:rsid w:val="006D0F04"/>
    <w:rsid w:val="006D42A5"/>
    <w:rsid w:val="006E4633"/>
    <w:rsid w:val="006E64D1"/>
    <w:rsid w:val="006F6A31"/>
    <w:rsid w:val="0070145B"/>
    <w:rsid w:val="00704510"/>
    <w:rsid w:val="0071095E"/>
    <w:rsid w:val="00711F4B"/>
    <w:rsid w:val="00714901"/>
    <w:rsid w:val="00720D58"/>
    <w:rsid w:val="00721473"/>
    <w:rsid w:val="00754457"/>
    <w:rsid w:val="00757885"/>
    <w:rsid w:val="00757F32"/>
    <w:rsid w:val="0076030C"/>
    <w:rsid w:val="00766B96"/>
    <w:rsid w:val="00785082"/>
    <w:rsid w:val="007C3747"/>
    <w:rsid w:val="007C5532"/>
    <w:rsid w:val="007D2A7C"/>
    <w:rsid w:val="007D3722"/>
    <w:rsid w:val="007D62BD"/>
    <w:rsid w:val="007E296D"/>
    <w:rsid w:val="007E4588"/>
    <w:rsid w:val="007E464C"/>
    <w:rsid w:val="007F076E"/>
    <w:rsid w:val="0080798A"/>
    <w:rsid w:val="008126C3"/>
    <w:rsid w:val="00821B86"/>
    <w:rsid w:val="00821F1C"/>
    <w:rsid w:val="0083284F"/>
    <w:rsid w:val="008357C8"/>
    <w:rsid w:val="00845747"/>
    <w:rsid w:val="00862256"/>
    <w:rsid w:val="00863565"/>
    <w:rsid w:val="0086520C"/>
    <w:rsid w:val="00871C76"/>
    <w:rsid w:val="008905B0"/>
    <w:rsid w:val="008C4307"/>
    <w:rsid w:val="008D49CD"/>
    <w:rsid w:val="008E0E26"/>
    <w:rsid w:val="008F0A31"/>
    <w:rsid w:val="008F1105"/>
    <w:rsid w:val="00901A20"/>
    <w:rsid w:val="00903AF2"/>
    <w:rsid w:val="0091302B"/>
    <w:rsid w:val="00924706"/>
    <w:rsid w:val="009309EA"/>
    <w:rsid w:val="00933754"/>
    <w:rsid w:val="00934B87"/>
    <w:rsid w:val="00934E5F"/>
    <w:rsid w:val="00941B38"/>
    <w:rsid w:val="00942458"/>
    <w:rsid w:val="00955D5B"/>
    <w:rsid w:val="009578B1"/>
    <w:rsid w:val="0098448E"/>
    <w:rsid w:val="009872A0"/>
    <w:rsid w:val="009A2289"/>
    <w:rsid w:val="009A3CF8"/>
    <w:rsid w:val="009B1CD8"/>
    <w:rsid w:val="009B532D"/>
    <w:rsid w:val="009C1759"/>
    <w:rsid w:val="009D2883"/>
    <w:rsid w:val="009D30D0"/>
    <w:rsid w:val="009D663C"/>
    <w:rsid w:val="009D7A03"/>
    <w:rsid w:val="009E102C"/>
    <w:rsid w:val="009E56B6"/>
    <w:rsid w:val="009F26F7"/>
    <w:rsid w:val="009F45AA"/>
    <w:rsid w:val="009F4E70"/>
    <w:rsid w:val="009F5FE2"/>
    <w:rsid w:val="009F7190"/>
    <w:rsid w:val="00A07D60"/>
    <w:rsid w:val="00A11DB2"/>
    <w:rsid w:val="00A22201"/>
    <w:rsid w:val="00A23295"/>
    <w:rsid w:val="00A34160"/>
    <w:rsid w:val="00A3718E"/>
    <w:rsid w:val="00A409AD"/>
    <w:rsid w:val="00A42EA1"/>
    <w:rsid w:val="00A43DFF"/>
    <w:rsid w:val="00A46600"/>
    <w:rsid w:val="00A505AB"/>
    <w:rsid w:val="00A52677"/>
    <w:rsid w:val="00A5324A"/>
    <w:rsid w:val="00A61D79"/>
    <w:rsid w:val="00A62F34"/>
    <w:rsid w:val="00A73232"/>
    <w:rsid w:val="00A73265"/>
    <w:rsid w:val="00A74FD1"/>
    <w:rsid w:val="00A77854"/>
    <w:rsid w:val="00A840EF"/>
    <w:rsid w:val="00A857B5"/>
    <w:rsid w:val="00AA61D3"/>
    <w:rsid w:val="00AB5F36"/>
    <w:rsid w:val="00AC3CBA"/>
    <w:rsid w:val="00AC6EC3"/>
    <w:rsid w:val="00AD44F9"/>
    <w:rsid w:val="00AE40D9"/>
    <w:rsid w:val="00AF0E82"/>
    <w:rsid w:val="00B01582"/>
    <w:rsid w:val="00B07D96"/>
    <w:rsid w:val="00B17620"/>
    <w:rsid w:val="00B21133"/>
    <w:rsid w:val="00B42CF5"/>
    <w:rsid w:val="00B43C37"/>
    <w:rsid w:val="00B57F58"/>
    <w:rsid w:val="00B62646"/>
    <w:rsid w:val="00B6557E"/>
    <w:rsid w:val="00B7097F"/>
    <w:rsid w:val="00B7374B"/>
    <w:rsid w:val="00B86453"/>
    <w:rsid w:val="00B86F18"/>
    <w:rsid w:val="00BB226F"/>
    <w:rsid w:val="00BB314C"/>
    <w:rsid w:val="00BC2CDF"/>
    <w:rsid w:val="00BD58A4"/>
    <w:rsid w:val="00BD78F2"/>
    <w:rsid w:val="00BE1437"/>
    <w:rsid w:val="00BE1DE1"/>
    <w:rsid w:val="00C045BE"/>
    <w:rsid w:val="00C04688"/>
    <w:rsid w:val="00C152AE"/>
    <w:rsid w:val="00C1772F"/>
    <w:rsid w:val="00C20048"/>
    <w:rsid w:val="00C25D66"/>
    <w:rsid w:val="00C40CBB"/>
    <w:rsid w:val="00C52940"/>
    <w:rsid w:val="00C72828"/>
    <w:rsid w:val="00C72D46"/>
    <w:rsid w:val="00C73AD1"/>
    <w:rsid w:val="00C74C59"/>
    <w:rsid w:val="00C803D8"/>
    <w:rsid w:val="00C8501D"/>
    <w:rsid w:val="00C851F7"/>
    <w:rsid w:val="00C915E3"/>
    <w:rsid w:val="00C97BD8"/>
    <w:rsid w:val="00CA2181"/>
    <w:rsid w:val="00CC3B7D"/>
    <w:rsid w:val="00CD0D4A"/>
    <w:rsid w:val="00CD5B34"/>
    <w:rsid w:val="00CE29EE"/>
    <w:rsid w:val="00CE3C97"/>
    <w:rsid w:val="00D031F8"/>
    <w:rsid w:val="00D06453"/>
    <w:rsid w:val="00D0758B"/>
    <w:rsid w:val="00D2275A"/>
    <w:rsid w:val="00D22C81"/>
    <w:rsid w:val="00D26D45"/>
    <w:rsid w:val="00D27084"/>
    <w:rsid w:val="00D36944"/>
    <w:rsid w:val="00D440D9"/>
    <w:rsid w:val="00D47774"/>
    <w:rsid w:val="00D60472"/>
    <w:rsid w:val="00D631A9"/>
    <w:rsid w:val="00D67A5B"/>
    <w:rsid w:val="00D67DA0"/>
    <w:rsid w:val="00D74250"/>
    <w:rsid w:val="00D77CBA"/>
    <w:rsid w:val="00D844EC"/>
    <w:rsid w:val="00D860DE"/>
    <w:rsid w:val="00D8663C"/>
    <w:rsid w:val="00D92A21"/>
    <w:rsid w:val="00D93123"/>
    <w:rsid w:val="00DA1E8C"/>
    <w:rsid w:val="00DB494D"/>
    <w:rsid w:val="00DC2773"/>
    <w:rsid w:val="00DC7838"/>
    <w:rsid w:val="00DD5F2B"/>
    <w:rsid w:val="00DD7536"/>
    <w:rsid w:val="00DE0298"/>
    <w:rsid w:val="00DF7BE4"/>
    <w:rsid w:val="00E36CC8"/>
    <w:rsid w:val="00E401CB"/>
    <w:rsid w:val="00E50B3E"/>
    <w:rsid w:val="00E533E8"/>
    <w:rsid w:val="00E74BC9"/>
    <w:rsid w:val="00E767EB"/>
    <w:rsid w:val="00E81221"/>
    <w:rsid w:val="00E833F7"/>
    <w:rsid w:val="00E8362A"/>
    <w:rsid w:val="00E963C9"/>
    <w:rsid w:val="00E964D1"/>
    <w:rsid w:val="00EB176B"/>
    <w:rsid w:val="00EB4F53"/>
    <w:rsid w:val="00EB598E"/>
    <w:rsid w:val="00EB60A4"/>
    <w:rsid w:val="00EE75EF"/>
    <w:rsid w:val="00EF2C83"/>
    <w:rsid w:val="00EF39A8"/>
    <w:rsid w:val="00EF5C9A"/>
    <w:rsid w:val="00F22042"/>
    <w:rsid w:val="00F23BC8"/>
    <w:rsid w:val="00F2437C"/>
    <w:rsid w:val="00F333ED"/>
    <w:rsid w:val="00F35466"/>
    <w:rsid w:val="00F43500"/>
    <w:rsid w:val="00F50710"/>
    <w:rsid w:val="00F73484"/>
    <w:rsid w:val="00FA508C"/>
    <w:rsid w:val="00FE4E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856460A-D961-4997-BBF8-B9F37A24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5"/>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16"/>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paragraph" w:styleId="Listenabsatz">
    <w:name w:val="List Paragraph"/>
    <w:basedOn w:val="Standard"/>
    <w:uiPriority w:val="34"/>
    <w:qFormat/>
    <w:rsid w:val="009B532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geEinleitungText">
    <w:name w:val="Frage Einleitung Text"/>
    <w:basedOn w:val="Standard"/>
    <w:uiPriority w:val="3"/>
    <w:qFormat/>
    <w:rsid w:val="00D440D9"/>
    <w:pPr>
      <w:spacing w:before="80" w:line="240" w:lineRule="auto"/>
      <w:ind w:left="794"/>
      <w:jc w:val="both"/>
    </w:pPr>
    <w:rPr>
      <w:rFonts w:asciiTheme="minorHAnsi" w:eastAsiaTheme="minorHAnsi" w:hAnsiTheme="minorHAnsi" w:cstheme="minorBidi"/>
      <w:i/>
      <w:sz w:val="20"/>
      <w:lang w:eastAsia="en-US"/>
    </w:rPr>
  </w:style>
  <w:style w:type="paragraph" w:customStyle="1" w:styleId="FrageNummer1">
    <w:name w:val="Frage Nummer 1)"/>
    <w:basedOn w:val="Standard"/>
    <w:uiPriority w:val="4"/>
    <w:qFormat/>
    <w:rsid w:val="005E2F3F"/>
    <w:pPr>
      <w:spacing w:before="240" w:line="240" w:lineRule="auto"/>
      <w:ind w:left="1588" w:hanging="1588"/>
      <w:jc w:val="both"/>
      <w:outlineLvl w:val="2"/>
    </w:pPr>
    <w:rPr>
      <w:rFonts w:asciiTheme="minorHAnsi" w:eastAsiaTheme="minorHAnsi" w:hAnsiTheme="minorHAnsi" w:cstheme="minorBidi"/>
      <w:i/>
      <w:sz w:val="20"/>
      <w:lang w:eastAsia="en-US"/>
    </w:rPr>
  </w:style>
  <w:style w:type="character" w:styleId="Kommentarzeichen">
    <w:name w:val="annotation reference"/>
    <w:basedOn w:val="Absatz-Standardschriftart"/>
    <w:uiPriority w:val="99"/>
    <w:semiHidden/>
    <w:unhideWhenUsed/>
    <w:rsid w:val="0047117F"/>
    <w:rPr>
      <w:sz w:val="16"/>
      <w:szCs w:val="16"/>
    </w:rPr>
  </w:style>
  <w:style w:type="paragraph" w:styleId="Kommentartext">
    <w:name w:val="annotation text"/>
    <w:basedOn w:val="Standard"/>
    <w:link w:val="KommentartextZchn"/>
    <w:uiPriority w:val="99"/>
    <w:semiHidden/>
    <w:unhideWhenUsed/>
    <w:rsid w:val="0047117F"/>
    <w:pPr>
      <w:spacing w:line="240" w:lineRule="auto"/>
    </w:pPr>
    <w:rPr>
      <w:sz w:val="20"/>
    </w:rPr>
  </w:style>
  <w:style w:type="character" w:customStyle="1" w:styleId="KommentartextZchn">
    <w:name w:val="Kommentartext Zchn"/>
    <w:basedOn w:val="Absatz-Standardschriftart"/>
    <w:link w:val="Kommentartext"/>
    <w:uiPriority w:val="99"/>
    <w:semiHidden/>
    <w:rsid w:val="0047117F"/>
    <w:rPr>
      <w:rFonts w:ascii="Arial" w:hAnsi="Arial"/>
    </w:rPr>
  </w:style>
  <w:style w:type="paragraph" w:styleId="Kommentarthema">
    <w:name w:val="annotation subject"/>
    <w:basedOn w:val="Kommentartext"/>
    <w:next w:val="Kommentartext"/>
    <w:link w:val="KommentarthemaZchn"/>
    <w:uiPriority w:val="99"/>
    <w:semiHidden/>
    <w:unhideWhenUsed/>
    <w:rsid w:val="0047117F"/>
    <w:rPr>
      <w:b/>
      <w:bCs/>
    </w:rPr>
  </w:style>
  <w:style w:type="character" w:customStyle="1" w:styleId="KommentarthemaZchn">
    <w:name w:val="Kommentarthema Zchn"/>
    <w:basedOn w:val="KommentartextZchn"/>
    <w:link w:val="Kommentarthema"/>
    <w:uiPriority w:val="99"/>
    <w:semiHidden/>
    <w:rsid w:val="0047117F"/>
    <w:rPr>
      <w:rFonts w:ascii="Arial" w:hAnsi="Arial"/>
      <w:b/>
      <w:bCs/>
    </w:rPr>
  </w:style>
  <w:style w:type="table" w:styleId="Tabellenraster">
    <w:name w:val="Table Grid"/>
    <w:basedOn w:val="NormaleTabelle"/>
    <w:uiPriority w:val="39"/>
    <w:rsid w:val="00955D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7532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07532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07532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07532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geVorbemerkung">
    <w:name w:val="Frage Vorbemerkung"/>
    <w:basedOn w:val="Standard"/>
    <w:next w:val="FrageNummer1"/>
    <w:uiPriority w:val="6"/>
    <w:qFormat/>
    <w:rsid w:val="00DC7838"/>
    <w:pPr>
      <w:numPr>
        <w:numId w:val="21"/>
      </w:numPr>
      <w:tabs>
        <w:tab w:val="num" w:pos="1070"/>
      </w:tabs>
      <w:spacing w:before="240" w:line="240" w:lineRule="auto"/>
      <w:ind w:left="1070" w:hanging="360"/>
      <w:jc w:val="both"/>
      <w:outlineLvl w:val="2"/>
    </w:pPr>
    <w:rPr>
      <w:rFonts w:eastAsia="Arial"/>
      <w:i/>
      <w:sz w:val="20"/>
      <w:lang w:eastAsia="en-US"/>
    </w:rPr>
  </w:style>
  <w:style w:type="numbering" w:customStyle="1" w:styleId="zzzListeVorbemerkung">
    <w:name w:val="zzz_Liste_Vorbemerkung"/>
    <w:basedOn w:val="KeineListe"/>
    <w:uiPriority w:val="99"/>
    <w:rsid w:val="00DC7838"/>
    <w:pPr>
      <w:numPr>
        <w:numId w:val="22"/>
      </w:numPr>
    </w:pPr>
  </w:style>
  <w:style w:type="numbering" w:customStyle="1" w:styleId="zzzListeVorbemerkung1">
    <w:name w:val="zzz_Liste_Vorbemerkung1"/>
    <w:basedOn w:val="KeineListe"/>
    <w:uiPriority w:val="99"/>
    <w:rsid w:val="00DC7838"/>
  </w:style>
  <w:style w:type="character" w:styleId="Hyperlink">
    <w:name w:val="Hyperlink"/>
    <w:basedOn w:val="Absatz-Standardschriftart"/>
    <w:uiPriority w:val="99"/>
    <w:semiHidden/>
    <w:unhideWhenUsed/>
    <w:rsid w:val="002403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burg.de/beratungsstellen/128472/beratung-11-5-sgb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amburg.de/haertefallfon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SKA-M.dot</Template>
  <TotalTime>0</TotalTime>
  <Pages>2</Pages>
  <Words>2617</Words>
  <Characters>17931</Characters>
  <Application>Microsoft Office Word</Application>
  <DocSecurity>0</DocSecurity>
  <Lines>564</Lines>
  <Paragraphs>340</Paragraphs>
  <ScaleCrop>false</ScaleCrop>
  <HeadingPairs>
    <vt:vector size="4" baseType="variant">
      <vt:variant>
        <vt:lpstr>Titel</vt:lpstr>
      </vt:variant>
      <vt:variant>
        <vt:i4>1</vt:i4>
      </vt:variant>
      <vt:variant>
        <vt:lpstr>Überschriften</vt:lpstr>
      </vt:variant>
      <vt:variant>
        <vt:i4>89</vt:i4>
      </vt:variant>
    </vt:vector>
  </HeadingPairs>
  <TitlesOfParts>
    <vt:vector size="90" baseType="lpstr">
      <vt:lpstr>Schriftliche Kleine Anfrage</vt:lpstr>
      <vt:lpstr>    Betr.:	Vermeidung von Energiesperren: Wirkt der Härtefallfonds?</vt:lpstr>
      <vt:lpstr>        In der bestehenden Krisensituation haben die HEnW ihre Kulanzregeln ausgeweitet </vt:lpstr>
      <vt:lpstr>        Wie vielen Privathaushalten in Hamburg wurde im 3. und 4. Quartal 2022 die Strom</vt:lpstr>
      <vt:lpstr>        </vt:lpstr>
      <vt:lpstr>        Stromsperrungen bei Kundinnen und Kunden mit Standardlastprofil (SLP-Kundinnen/-</vt:lpstr>
      <vt:lpstr>        </vt:lpstr>
      <vt:lpstr>        Bei SLP-Kundinnen/-Kunden handelt es sich um Kundinnen/Kunden mit einem Jahresve</vt:lpstr>
      <vt:lpstr>        </vt:lpstr>
      <vt:lpstr>        Wie viele Mahnverfahren wegen nicht bezahlter Stromrechnungen haben der auch als</vt:lpstr>
      <vt:lpstr>        Die eingeleiteten Mahnverfahren sind folgender Übersicht zu entnehmen:</vt:lpstr>
      <vt:lpstr>        </vt:lpstr>
      <vt:lpstr>        Bei den durch Vattenfall eingeleiteten Mahnverfahren handelt es sich dabei um al</vt:lpstr>
      <vt:lpstr>        </vt:lpstr>
      <vt:lpstr>        Wie vielen Privathaushalten in Hamburg wurde im 3. und 4. Quartal 2022 die Gasve</vt:lpstr>
      <vt:lpstr>        </vt:lpstr>
      <vt:lpstr>        Gassperrungen bei SLP-Kundinnen/-Kunden im Auftrag der Gaslieferanten:</vt:lpstr>
      <vt:lpstr>        </vt:lpstr>
      <vt:lpstr>        Bei SLP-Kundinnen/-Kunden handelt es sich um Kundinnen/Kunden mit einem Jahresve</vt:lpstr>
      <vt:lpstr>        </vt:lpstr>
      <vt:lpstr>        Wie vielen Privathaushalten in Hamburg wurde im 3. und 4. Quartal 2022 die Wasse</vt:lpstr>
      <vt:lpstr>        </vt:lpstr>
      <vt:lpstr>        Wie viele Haushalte mit geringem Einkommen haben die Stromsparhelfer der Caritas</vt:lpstr>
      <vt:lpstr>        Beratungen der Caritas:</vt:lpstr>
      <vt:lpstr>        </vt:lpstr>
      <vt:lpstr>        </vt:lpstr>
      <vt:lpstr>        Die öffentlich geförderten Schuldner- und Insolvenzberatungsstellen der FHH bera</vt:lpstr>
      <vt:lpstr>        </vt:lpstr>
      <vt:lpstr>        Die Anzahl der Beratungsvorgänge öffentlich geförderter Schuldner- und Insolvenz</vt:lpstr>
      <vt:lpstr>        </vt:lpstr>
      <vt:lpstr>        </vt:lpstr>
      <vt:lpstr>        </vt:lpstr>
      <vt:lpstr>        </vt:lpstr>
      <vt:lpstr>        Wie viele Haushalte hat die Verbraucherzentrale Hamburg im 3. und 4. Quartal 202</vt:lpstr>
      <vt:lpstr>        Bei der Verbraucherzentrale Hamburg e. V. werden die Beratungskontakte zum Gas- </vt:lpstr>
      <vt:lpstr>        </vt:lpstr>
      <vt:lpstr>        Härtefallfonds</vt:lpstr>
      <vt:lpstr>        </vt:lpstr>
      <vt:lpstr>        Wie viele Anträge auf Übernahme der Energiekosten durch den Härtefallfonds sind </vt:lpstr>
      <vt:lpstr>        Wie viele der Anträge an den Härtefallfonds sind positiv beschieden und wie viel</vt:lpstr>
      <vt:lpstr>        Es wurden vier Anträge von den Schuldnerberatungsstellen gemeldet. Alle vier Fäl</vt:lpstr>
      <vt:lpstr>        </vt:lpstr>
      <vt:lpstr>        Vorbemerkung:	Auf hamburg.de findet sich eine Liste der Energieunternehmen, die </vt:lpstr>
      <vt:lpstr>        Welche Anstrengungen hat der Senat unternommen, damit sich noch weitere Energieu</vt:lpstr>
      <vt:lpstr>        Alle in Hamburg tätigen Strom-, Gas- und Fernwärmelieferanten wurden vom Senat a</vt:lpstr>
      <vt:lpstr>        </vt:lpstr>
      <vt:lpstr>        Wieso beteiligt sich der städtische Stromversorger Hamburg Energie nicht am Härt</vt:lpstr>
      <vt:lpstr>        Siehe Vorbemerkung.</vt:lpstr>
      <vt:lpstr>        </vt:lpstr>
      <vt:lpstr>        Hat es weitere Gespräche mit E.ON als Grundversorger für Gas zur Beteiligung am </vt:lpstr>
      <vt:lpstr>        Wenn ja, mit welchem Ergebnis? </vt:lpstr>
      <vt:lpstr>        Wenn nein, warum nicht?</vt:lpstr>
      <vt:lpstr>        Der Senat hat mehrfach Gespräche mit der E.ON Energie Deutschland GmbH geführt u</vt:lpstr>
      <vt:lpstr>        </vt:lpstr>
      <vt:lpstr>        Vorbemerkung:	Um dem erhöhten Bedarf nach Beratungen im Zuge der Auswirkungen de</vt:lpstr>
      <vt:lpstr>        Wie haben sich ab dem 3. Quartal 2021 die Anmeldezahlen bei den anerkannten Schu</vt:lpstr>
      <vt:lpstr>        </vt:lpstr>
      <vt:lpstr>        Im Übrigen siehe Drs. 22/9395. </vt:lpstr>
      <vt:lpstr>        </vt:lpstr>
      <vt:lpstr>        Wie ist die aktuelle Wartezeit für eine Beratung bei den anerkannten Schuldnerbe</vt:lpstr>
      <vt:lpstr>        Die offene Kurz- und Notfallberatung kann jederzeit ohne Wartezeit bei allen Ber</vt:lpstr>
      <vt:lpstr>        Aktuelle Wartezeit für eine Beratung bei den Schuldnerberatungsstellen:</vt:lpstr>
      <vt:lpstr>        Die Wartezeit wird nicht nur durch die Beratungskapazitäten der Schuldnerberatun</vt:lpstr>
      <vt:lpstr>        Die nicht öffentlich geförderten Schuldner- und Insolvenzberatungsstellen sind n</vt:lpstr>
      <vt:lpstr>        Die bei den geförderten Beratungsstellen (siehe: https://www.hamburg.de/beratung</vt:lpstr>
      <vt:lpstr>        </vt:lpstr>
      <vt:lpstr>        Bei welchen Schuldnerberatungsstellen wurden seit Juni 2021 die Beratungskapazit</vt:lpstr>
      <vt:lpstr>        </vt:lpstr>
      <vt:lpstr>        Zahl der Beratungskräfte der Schuldnerberatungsstellen: </vt:lpstr>
      <vt:lpstr>        Eine Aufteilung nach Bezirken ist nicht möglich, da einige Beratungsstellen über</vt:lpstr>
      <vt:lpstr>        </vt:lpstr>
      <vt:lpstr>        Bei welchen Schuldnerberatungsstellen wurden zur Abwicklung des Härtefallfonds B</vt:lpstr>
      <vt:lpstr>        Aufstockung Personalkapazitäten in den geförderten Schuldnerberatungsstellen zur</vt:lpstr>
      <vt:lpstr>        </vt:lpstr>
      <vt:lpstr>        Im Übrigen siehe auch Antwort zu 14.</vt:lpstr>
      <vt:lpstr>        </vt:lpstr>
      <vt:lpstr>        Vorbemerkung:	Bereits im März 2022 hat die Bürgerschaft auf Antrag der Regierung</vt:lpstr>
      <vt:lpstr>        Ist der Härtefallfonds in Zuständigkeit der Umweltbehörde bereits eingerichtet? </vt:lpstr>
      <vt:lpstr>        Wenn ja, wo finden sich entsprechende Informationen? </vt:lpstr>
      <vt:lpstr>        Wenn nein, soll dies noch geschehen oder wie ist der Stand der Planungen?</vt:lpstr>
      <vt:lpstr>        Inwieweit unterscheidet sich der Härtefallfonds zur Vermeidung von Energiesperre</vt:lpstr>
      <vt:lpstr>        Die Senatsvertreterinnen und -vertreter haben in der Sitzung des Sozialausschuss</vt:lpstr>
      <vt:lpstr>        </vt:lpstr>
      <vt:lpstr>        Wurde bereits eine zentrale Ansprechstelle aufseiten des Stromgrundversorgers fü</vt:lpstr>
      <vt:lpstr>        Wenn ja, wann? </vt:lpstr>
      <vt:lpstr>        Wenn nein, warum nicht?</vt:lpstr>
      <vt:lpstr>        Wenn bereits eine zentrale Ansprechstelle aufseiten des Stromgrundversorgers für</vt:lpstr>
      <vt:lpstr>        Die zentrale Hotline steht bereits seit 2020 zur Verfügung.</vt:lpstr>
      <vt:lpstr>        Die Zusammenarbeit wird seitens Vattenfall als sehr gut und kooperativ bewertet.</vt:lpstr>
      <vt:lpstr>        </vt:lpstr>
    </vt:vector>
  </TitlesOfParts>
  <Company>CDU Bürgerschaftsfraktion</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Korn, Annette</cp:lastModifiedBy>
  <cp:revision>2</cp:revision>
  <cp:lastPrinted>2011-05-25T12:29:00Z</cp:lastPrinted>
  <dcterms:created xsi:type="dcterms:W3CDTF">2023-02-03T12:45:00Z</dcterms:created>
  <dcterms:modified xsi:type="dcterms:W3CDTF">2023-02-03T12:45:00Z</dcterms:modified>
</cp:coreProperties>
</file>