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2042" w14:textId="4FF9D641" w:rsidR="00862256" w:rsidRDefault="007F5DAC" w:rsidP="007F5DAC">
      <w:pPr>
        <w:autoSpaceDE w:val="0"/>
        <w:autoSpaceDN w:val="0"/>
        <w:adjustRightInd w:val="0"/>
        <w:spacing w:line="240" w:lineRule="auto"/>
        <w:jc w:val="right"/>
        <w:rPr>
          <w:rFonts w:cs="Arial"/>
          <w:bCs/>
          <w:color w:val="000000"/>
          <w:sz w:val="22"/>
          <w:szCs w:val="22"/>
        </w:rPr>
      </w:pPr>
      <w:bookmarkStart w:id="0" w:name="_GoBack"/>
      <w:bookmarkEnd w:id="0"/>
      <w:r>
        <w:rPr>
          <w:rFonts w:cs="Arial"/>
          <w:bCs/>
          <w:color w:val="000000"/>
          <w:sz w:val="22"/>
          <w:szCs w:val="22"/>
        </w:rPr>
        <w:t>12. September 2023</w:t>
      </w:r>
    </w:p>
    <w:p w14:paraId="7CED0CD7" w14:textId="77777777" w:rsidR="007F5DAC" w:rsidRPr="007F5DAC" w:rsidRDefault="007F5DAC" w:rsidP="00AD3F10">
      <w:pPr>
        <w:autoSpaceDE w:val="0"/>
        <w:autoSpaceDN w:val="0"/>
        <w:adjustRightInd w:val="0"/>
        <w:spacing w:line="240" w:lineRule="auto"/>
        <w:jc w:val="center"/>
        <w:rPr>
          <w:rFonts w:cs="Arial"/>
          <w:bCs/>
          <w:color w:val="000000"/>
          <w:sz w:val="22"/>
          <w:szCs w:val="22"/>
        </w:rPr>
      </w:pPr>
    </w:p>
    <w:p w14:paraId="73408347" w14:textId="77777777" w:rsidR="00862256" w:rsidRPr="00B86453" w:rsidRDefault="00862256" w:rsidP="00AD3F10">
      <w:pPr>
        <w:spacing w:line="240" w:lineRule="auto"/>
        <w:jc w:val="center"/>
        <w:rPr>
          <w:b/>
          <w:sz w:val="36"/>
          <w:szCs w:val="36"/>
        </w:rPr>
      </w:pPr>
      <w:r w:rsidRPr="00862256">
        <w:rPr>
          <w:rFonts w:cs="Arial"/>
          <w:szCs w:val="24"/>
        </w:rPr>
        <w:t xml:space="preserve"> </w:t>
      </w:r>
      <w:r w:rsidRPr="00B86453">
        <w:rPr>
          <w:b/>
          <w:sz w:val="36"/>
          <w:szCs w:val="36"/>
        </w:rPr>
        <w:t>Schriftliche Kleine Anfrage</w:t>
      </w:r>
    </w:p>
    <w:p w14:paraId="562F961E" w14:textId="77777777" w:rsidR="00AD3F10" w:rsidRPr="00AD3F10" w:rsidRDefault="00AD3F10" w:rsidP="00AD3F10">
      <w:pPr>
        <w:autoSpaceDE w:val="0"/>
        <w:autoSpaceDN w:val="0"/>
        <w:adjustRightInd w:val="0"/>
        <w:spacing w:line="240" w:lineRule="auto"/>
        <w:jc w:val="center"/>
        <w:rPr>
          <w:b/>
          <w:szCs w:val="24"/>
        </w:rPr>
      </w:pPr>
    </w:p>
    <w:p w14:paraId="5741E31D" w14:textId="45113EFA" w:rsidR="00295F35" w:rsidRDefault="00295F35" w:rsidP="00AD3F10">
      <w:pPr>
        <w:autoSpaceDE w:val="0"/>
        <w:autoSpaceDN w:val="0"/>
        <w:adjustRightInd w:val="0"/>
        <w:spacing w:line="240" w:lineRule="auto"/>
        <w:jc w:val="center"/>
        <w:rPr>
          <w:b/>
          <w:sz w:val="20"/>
        </w:rPr>
      </w:pPr>
      <w:r w:rsidRPr="00295F35">
        <w:rPr>
          <w:b/>
          <w:sz w:val="20"/>
        </w:rPr>
        <w:t>de</w:t>
      </w:r>
      <w:r w:rsidR="00C911F2">
        <w:rPr>
          <w:b/>
          <w:sz w:val="20"/>
        </w:rPr>
        <w:t>r</w:t>
      </w:r>
      <w:r w:rsidRPr="00295F35">
        <w:rPr>
          <w:b/>
          <w:sz w:val="20"/>
        </w:rPr>
        <w:t xml:space="preserve"> Abgeordneten </w:t>
      </w:r>
      <w:r w:rsidR="00C911F2">
        <w:rPr>
          <w:b/>
          <w:sz w:val="20"/>
        </w:rPr>
        <w:t>Cansu Özdemir, Stephan Jersch und Olga Fritzsche (DIE LINKE)</w:t>
      </w:r>
      <w:r w:rsidRPr="00295F35">
        <w:rPr>
          <w:b/>
          <w:sz w:val="20"/>
        </w:rPr>
        <w:t xml:space="preserve"> </w:t>
      </w:r>
      <w:r w:rsidR="00125EFF">
        <w:rPr>
          <w:b/>
          <w:sz w:val="20"/>
        </w:rPr>
        <w:br/>
      </w:r>
      <w:r w:rsidRPr="00295F35">
        <w:rPr>
          <w:b/>
          <w:sz w:val="20"/>
        </w:rPr>
        <w:t xml:space="preserve">vom </w:t>
      </w:r>
      <w:r w:rsidR="001254A7">
        <w:rPr>
          <w:b/>
          <w:sz w:val="20"/>
        </w:rPr>
        <w:t>0</w:t>
      </w:r>
      <w:r w:rsidR="00C911F2">
        <w:rPr>
          <w:b/>
          <w:sz w:val="20"/>
        </w:rPr>
        <w:t>5</w:t>
      </w:r>
      <w:r w:rsidRPr="00295F35">
        <w:rPr>
          <w:b/>
          <w:sz w:val="20"/>
        </w:rPr>
        <w:t>.0</w:t>
      </w:r>
      <w:r w:rsidR="001254A7">
        <w:rPr>
          <w:b/>
          <w:sz w:val="20"/>
        </w:rPr>
        <w:t>9</w:t>
      </w:r>
      <w:r w:rsidRPr="00295F35">
        <w:rPr>
          <w:b/>
          <w:sz w:val="20"/>
        </w:rPr>
        <w:t>.</w:t>
      </w:r>
      <w:r>
        <w:rPr>
          <w:b/>
          <w:sz w:val="20"/>
        </w:rPr>
        <w:t>20</w:t>
      </w:r>
      <w:r w:rsidRPr="00295F35">
        <w:rPr>
          <w:b/>
          <w:sz w:val="20"/>
        </w:rPr>
        <w:t>23</w:t>
      </w:r>
    </w:p>
    <w:p w14:paraId="3AEB9EF8" w14:textId="77777777" w:rsidR="00AD3F10" w:rsidRPr="00AD3F10" w:rsidRDefault="00AD3F10" w:rsidP="00AD3F10">
      <w:pPr>
        <w:autoSpaceDE w:val="0"/>
        <w:autoSpaceDN w:val="0"/>
        <w:adjustRightInd w:val="0"/>
        <w:spacing w:line="240" w:lineRule="auto"/>
        <w:jc w:val="center"/>
        <w:rPr>
          <w:rFonts w:cs="Arial"/>
          <w:b/>
          <w:bCs/>
          <w:color w:val="000000"/>
          <w:szCs w:val="24"/>
        </w:rPr>
      </w:pPr>
    </w:p>
    <w:p w14:paraId="4E1A3440" w14:textId="7A9ED8AF" w:rsidR="00AD44F9" w:rsidRDefault="00862256" w:rsidP="00AD3F10">
      <w:pPr>
        <w:autoSpaceDE w:val="0"/>
        <w:autoSpaceDN w:val="0"/>
        <w:adjustRightInd w:val="0"/>
        <w:spacing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14:paraId="53FA194A" w14:textId="77777777" w:rsidR="00AD3F10" w:rsidRPr="00AD3F10" w:rsidRDefault="00AD3F10" w:rsidP="00AD3F10">
      <w:pPr>
        <w:autoSpaceDE w:val="0"/>
        <w:autoSpaceDN w:val="0"/>
        <w:adjustRightInd w:val="0"/>
        <w:spacing w:line="240" w:lineRule="auto"/>
        <w:jc w:val="center"/>
        <w:rPr>
          <w:b/>
          <w:szCs w:val="24"/>
        </w:rPr>
      </w:pPr>
    </w:p>
    <w:p w14:paraId="5E5347D3" w14:textId="7C3E716C" w:rsidR="00862256" w:rsidRPr="00862256" w:rsidRDefault="00862256" w:rsidP="00AD3F10">
      <w:pPr>
        <w:autoSpaceDE w:val="0"/>
        <w:autoSpaceDN w:val="0"/>
        <w:adjustRightInd w:val="0"/>
        <w:spacing w:line="240" w:lineRule="auto"/>
        <w:jc w:val="center"/>
        <w:rPr>
          <w:b/>
          <w:sz w:val="28"/>
          <w:szCs w:val="28"/>
        </w:rPr>
      </w:pPr>
      <w:r>
        <w:rPr>
          <w:b/>
          <w:sz w:val="28"/>
          <w:szCs w:val="28"/>
        </w:rPr>
        <w:t>- Drucksache 2</w:t>
      </w:r>
      <w:r w:rsidR="009E56B6">
        <w:rPr>
          <w:b/>
          <w:sz w:val="28"/>
          <w:szCs w:val="28"/>
        </w:rPr>
        <w:t>2</w:t>
      </w:r>
      <w:r>
        <w:rPr>
          <w:b/>
          <w:sz w:val="28"/>
          <w:szCs w:val="28"/>
        </w:rPr>
        <w:t>/</w:t>
      </w:r>
      <w:r w:rsidR="001254A7">
        <w:rPr>
          <w:b/>
          <w:sz w:val="28"/>
          <w:szCs w:val="28"/>
        </w:rPr>
        <w:t>1</w:t>
      </w:r>
      <w:r w:rsidR="003C4F75">
        <w:rPr>
          <w:b/>
          <w:sz w:val="28"/>
          <w:szCs w:val="28"/>
        </w:rPr>
        <w:t>28</w:t>
      </w:r>
      <w:r w:rsidR="00C911F2">
        <w:rPr>
          <w:b/>
          <w:sz w:val="28"/>
          <w:szCs w:val="28"/>
        </w:rPr>
        <w:t>66</w:t>
      </w:r>
      <w:r>
        <w:rPr>
          <w:b/>
          <w:sz w:val="28"/>
          <w:szCs w:val="28"/>
        </w:rPr>
        <w:t xml:space="preserve"> -</w:t>
      </w:r>
    </w:p>
    <w:p w14:paraId="3BF75BEB" w14:textId="77777777" w:rsidR="00AD44F9" w:rsidRDefault="00AD44F9" w:rsidP="00AD3F10">
      <w:pPr>
        <w:spacing w:line="240" w:lineRule="auto"/>
        <w:rPr>
          <w:sz w:val="22"/>
          <w:szCs w:val="22"/>
        </w:rPr>
      </w:pPr>
    </w:p>
    <w:p w14:paraId="1B8E204A" w14:textId="6D19961B" w:rsidR="00864F6B" w:rsidRPr="00BB2F6C" w:rsidRDefault="003E2E94" w:rsidP="00AD3F10">
      <w:pPr>
        <w:pStyle w:val="Titel-Betreff"/>
        <w:tabs>
          <w:tab w:val="clear" w:pos="794"/>
        </w:tabs>
        <w:ind w:left="851" w:hanging="851"/>
      </w:pPr>
      <w:r w:rsidRPr="00296607">
        <w:t>Betr.:</w:t>
      </w:r>
      <w:r w:rsidRPr="00296607">
        <w:tab/>
      </w:r>
      <w:r w:rsidR="00C911F2">
        <w:t>Vermeidung von Energiesperren: Wirkt der Härtefallfonds? (II)</w:t>
      </w:r>
    </w:p>
    <w:p w14:paraId="36796929" w14:textId="77777777" w:rsidR="009E56B6" w:rsidRPr="00DA0BAF" w:rsidRDefault="009E56B6" w:rsidP="00AD3F10">
      <w:pPr>
        <w:autoSpaceDE w:val="0"/>
        <w:autoSpaceDN w:val="0"/>
        <w:adjustRightInd w:val="0"/>
        <w:spacing w:line="240" w:lineRule="auto"/>
        <w:jc w:val="both"/>
        <w:rPr>
          <w:rFonts w:cs="Arial"/>
          <w:b/>
          <w:i/>
          <w:sz w:val="20"/>
        </w:rPr>
      </w:pPr>
      <w:r w:rsidRPr="00DA0BAF">
        <w:rPr>
          <w:rFonts w:cs="Arial"/>
          <w:b/>
          <w:i/>
          <w:sz w:val="20"/>
        </w:rPr>
        <w:t>Einleitung für die Fragen:</w:t>
      </w:r>
    </w:p>
    <w:p w14:paraId="6AC41F29" w14:textId="77777777" w:rsidR="00864F6B" w:rsidRDefault="00864F6B" w:rsidP="00AD3F10">
      <w:pPr>
        <w:autoSpaceDE w:val="0"/>
        <w:autoSpaceDN w:val="0"/>
        <w:adjustRightInd w:val="0"/>
        <w:spacing w:line="240" w:lineRule="auto"/>
        <w:ind w:left="851"/>
        <w:jc w:val="both"/>
        <w:rPr>
          <w:rFonts w:eastAsia="Arial"/>
          <w:i/>
          <w:sz w:val="20"/>
          <w:lang w:eastAsia="en-US"/>
        </w:rPr>
      </w:pPr>
    </w:p>
    <w:p w14:paraId="58BAD83E" w14:textId="13069B9E" w:rsidR="004151FF" w:rsidRPr="003C4F75" w:rsidRDefault="00C911F2" w:rsidP="00AD3F10">
      <w:pPr>
        <w:spacing w:line="240" w:lineRule="auto"/>
        <w:ind w:left="851"/>
        <w:jc w:val="both"/>
        <w:rPr>
          <w:rFonts w:eastAsia="Arial"/>
          <w:i/>
          <w:sz w:val="20"/>
          <w:lang w:eastAsia="en-US"/>
        </w:rPr>
      </w:pPr>
      <w:r w:rsidRPr="00C911F2">
        <w:rPr>
          <w:rFonts w:eastAsia="Arial"/>
          <w:i/>
          <w:sz w:val="20"/>
          <w:lang w:eastAsia="en-US"/>
        </w:rPr>
        <w:t xml:space="preserve">Die stark gestiegenen Energiekosten bringen insbesondere Haushalte mit </w:t>
      </w:r>
      <w:r w:rsidRPr="00C911F2">
        <w:rPr>
          <w:rFonts w:eastAsia="Arial"/>
          <w:i/>
          <w:sz w:val="20"/>
          <w:lang w:eastAsia="en-US"/>
        </w:rPr>
        <w:br/>
        <w:t>geringem Einkommen an ihre finanziellen Belastungsgrenzen und drohen Energiearmut zu verschärfen. So hat eine Anfrage der Fraktion DIE LINKE von Februar 2023 ergeben, dass im zweiten Halbjahr 2022 rund 650 Haushalten mehr der Strom gesperrt wurde als noch im ersten Halbjahr. Um Stromsperren zu vermeiden, können Haushalte, denen eine Sperre droht und bei denen die sozialen Sicherungssysteme nicht greifen, seit Ende November 2022 eine Schuldenübernahme aus dem Härtefallfonds beantragen. Diese Hilfen wurden in den ersten Monaten viermal in Anspruch genommen.</w:t>
      </w:r>
    </w:p>
    <w:p w14:paraId="57FEA956" w14:textId="2511D874" w:rsidR="00295F35" w:rsidRDefault="00295F35" w:rsidP="00AD3F10">
      <w:pPr>
        <w:spacing w:before="80" w:line="240" w:lineRule="auto"/>
        <w:ind w:left="851"/>
        <w:jc w:val="both"/>
        <w:rPr>
          <w:rFonts w:eastAsia="Arial"/>
          <w:i/>
          <w:sz w:val="20"/>
          <w:lang w:eastAsia="en-US"/>
        </w:rPr>
      </w:pPr>
      <w:r w:rsidRPr="00295F35">
        <w:rPr>
          <w:rFonts w:eastAsia="Arial"/>
          <w:i/>
          <w:sz w:val="20"/>
          <w:lang w:eastAsia="en-US"/>
        </w:rPr>
        <w:t>Vor diesem Hintergrund frage ich den Senat:</w:t>
      </w:r>
    </w:p>
    <w:p w14:paraId="38A994BC" w14:textId="77777777" w:rsidR="004151FF" w:rsidRDefault="004151FF" w:rsidP="00AD3F10">
      <w:pPr>
        <w:spacing w:before="80" w:line="240" w:lineRule="auto"/>
        <w:ind w:left="851"/>
        <w:jc w:val="both"/>
        <w:rPr>
          <w:rFonts w:eastAsia="Arial"/>
          <w:i/>
          <w:sz w:val="20"/>
          <w:lang w:eastAsia="en-US"/>
        </w:rPr>
      </w:pPr>
    </w:p>
    <w:p w14:paraId="017DD7CF" w14:textId="5337CEB2" w:rsidR="004151FF" w:rsidRPr="004151FF" w:rsidRDefault="004151FF" w:rsidP="00AD3F10">
      <w:pPr>
        <w:pStyle w:val="FrageEinleitungText"/>
        <w:spacing w:before="0"/>
        <w:ind w:left="0"/>
        <w:rPr>
          <w:rFonts w:ascii="Arial" w:hAnsi="Arial" w:cs="Arial"/>
          <w:i w:val="0"/>
          <w:iCs/>
        </w:rPr>
      </w:pPr>
      <w:r w:rsidRPr="004151FF">
        <w:rPr>
          <w:rFonts w:ascii="Arial" w:hAnsi="Arial" w:cs="Arial"/>
          <w:i w:val="0"/>
          <w:iCs/>
        </w:rPr>
        <w:t xml:space="preserve">Das Absperren von Strom, Gas, Wasser oder Fernwärme führt zu einer schwerwiegenden Beeinträchtigung der Lebenssituation der Betroffenen. </w:t>
      </w:r>
      <w:r w:rsidR="005624BE">
        <w:rPr>
          <w:rFonts w:ascii="Arial" w:hAnsi="Arial" w:cs="Arial"/>
          <w:i w:val="0"/>
          <w:iCs/>
        </w:rPr>
        <w:t>Gerade a</w:t>
      </w:r>
      <w:r w:rsidRPr="004151FF">
        <w:rPr>
          <w:rFonts w:ascii="Arial" w:hAnsi="Arial" w:cs="Arial"/>
          <w:i w:val="0"/>
          <w:iCs/>
        </w:rPr>
        <w:t xml:space="preserve">uch bei hohen Energiepreisen bleibt es das Ziel des Senats, das Eintreten dieser Situation möglichst zu vermeiden. </w:t>
      </w:r>
    </w:p>
    <w:p w14:paraId="53CCD014" w14:textId="77777777" w:rsidR="004151FF" w:rsidRPr="004151FF" w:rsidRDefault="004151FF" w:rsidP="00AD3F10">
      <w:pPr>
        <w:pStyle w:val="FrageEinleitungText"/>
        <w:spacing w:before="240"/>
        <w:ind w:left="0"/>
        <w:rPr>
          <w:rFonts w:ascii="Arial" w:hAnsi="Arial" w:cs="Arial"/>
          <w:i w:val="0"/>
          <w:iCs/>
        </w:rPr>
      </w:pPr>
      <w:r w:rsidRPr="004151FF">
        <w:rPr>
          <w:rFonts w:ascii="Arial" w:hAnsi="Arial" w:cs="Arial"/>
          <w:i w:val="0"/>
          <w:iCs/>
        </w:rPr>
        <w:t xml:space="preserve">Für Bezieherinnen und Bezieher von existenzsichernden Leistungen bestehen bundesrechtlich ausgestaltete Leistungsansprüche. Die Bundesregierung hat 2022 angesichts hoher Energiepreise zudem zahlreiche Entlastungsmaßnahmen wie Direktzahlungen, Steuererleichterungen und Energiepreisbremsen beschlossen. Der Senat hat überdies einen Härtefallfonds für von Energiesperren bedrohte Haushalte eingerichtet. </w:t>
      </w:r>
    </w:p>
    <w:p w14:paraId="73576BBA" w14:textId="77777777" w:rsidR="004151FF" w:rsidRPr="004151FF" w:rsidRDefault="004151FF" w:rsidP="00AD3F10">
      <w:pPr>
        <w:pStyle w:val="FrageEinleitungText"/>
        <w:spacing w:before="240"/>
        <w:ind w:left="0"/>
        <w:rPr>
          <w:rFonts w:ascii="Arial" w:hAnsi="Arial" w:cs="Arial"/>
          <w:i w:val="0"/>
          <w:iCs/>
        </w:rPr>
      </w:pPr>
      <w:r w:rsidRPr="004151FF">
        <w:rPr>
          <w:rFonts w:ascii="Arial" w:hAnsi="Arial" w:cs="Arial"/>
          <w:i w:val="0"/>
          <w:iCs/>
        </w:rPr>
        <w:t>Bürgerinnen und Bürger in einer angespannten finanziellen Situation können sich zudem an die verschiedenen hamburgischen Schuldnerberatungsstellen und insbesondere auch an die Verbraucherzentrale Hamburg e.V. wenden, die Expertinnen und Experten für das Thema Strom- und Gasschulden beschäftigt. Jobcenter und Grundsicherungsämter gewähren ergänzende Darlehen zur Deckung von Haushaltsenergiebedarfen; zudem bieten verschiedene Energieversorger unterschiedliche Modelle des Zahlungsaufschubs an. Die weitere Umsetzung des Maßnahmenkatalogs des Runden Tisches zur Vermeidung von Strom-, Gas- und Wassersperren trägt ebenfalls dazu bei, Versorgungssperren in Hamburg zu reduzieren.</w:t>
      </w:r>
    </w:p>
    <w:p w14:paraId="7BCCA96A" w14:textId="77777777" w:rsidR="004151FF" w:rsidRPr="004151FF" w:rsidRDefault="004151FF" w:rsidP="00AD3F10">
      <w:pPr>
        <w:pStyle w:val="FrageEinleitungText"/>
        <w:spacing w:before="240"/>
        <w:ind w:left="0"/>
        <w:rPr>
          <w:rFonts w:ascii="Arial" w:hAnsi="Arial" w:cs="Arial"/>
          <w:i w:val="0"/>
          <w:iCs/>
        </w:rPr>
      </w:pPr>
      <w:r w:rsidRPr="004151FF">
        <w:rPr>
          <w:rFonts w:ascii="Arial" w:hAnsi="Arial" w:cs="Arial"/>
          <w:i w:val="0"/>
          <w:iCs/>
        </w:rPr>
        <w:t>Verschiedene Angebote wie das vom Caritasverband für Hamburg e.V. getragene und u. a. aus Mitteln der FHH geförderte Projekt „Stromspar-Check“ beraten speziell einkommensschwache Haushalte darin, wie sie ihre Energiekosten senken und dadurch ggf. auch Zahlungsrückstände vermeiden können. Zusätzlich gibt es eine Effizienzgeräteförderung zur Anschaffung von hocheffizienten Kühlgeräten.</w:t>
      </w:r>
    </w:p>
    <w:p w14:paraId="758C489B" w14:textId="48EE1F0D" w:rsidR="004151FF" w:rsidRPr="004151FF" w:rsidRDefault="004151FF" w:rsidP="00AD3F10">
      <w:pPr>
        <w:pStyle w:val="FrageEinleitungText"/>
        <w:spacing w:before="240"/>
        <w:ind w:left="0"/>
        <w:rPr>
          <w:rFonts w:ascii="Arial" w:hAnsi="Arial" w:cs="Arial"/>
          <w:i w:val="0"/>
          <w:iCs/>
        </w:rPr>
      </w:pPr>
      <w:r w:rsidRPr="004151FF">
        <w:rPr>
          <w:rFonts w:ascii="Arial" w:hAnsi="Arial" w:cs="Arial"/>
          <w:i w:val="0"/>
          <w:iCs/>
        </w:rPr>
        <w:t>Hamburg Energie ist eine Marke der Hamburger Energiewerke GmbH (HEnW). Das Unternehmen Hamburg Energie GmbH existiert seit der Fusion mit Wärme Hamburg GmbH zum 1.</w:t>
      </w:r>
      <w:r w:rsidR="002E5C0C">
        <w:rPr>
          <w:rFonts w:ascii="Arial" w:hAnsi="Arial" w:cs="Arial"/>
          <w:i w:val="0"/>
          <w:iCs/>
        </w:rPr>
        <w:t xml:space="preserve"> Januar </w:t>
      </w:r>
      <w:r w:rsidRPr="004151FF">
        <w:rPr>
          <w:rFonts w:ascii="Arial" w:hAnsi="Arial" w:cs="Arial"/>
          <w:i w:val="0"/>
          <w:iCs/>
        </w:rPr>
        <w:t>2022 nicht mehr. HEnW gibt als Strom- und Gaslieferant keine Sperrungen in Auftrag, sondern kündigt säumigen Kundinnen und Kunden, wenn sie nach Erhalt von zwei Mahnungen nicht innerhalb einer bestimmten Frist die ausstehenden Forderungen begleichen. Die</w:t>
      </w:r>
      <w:r w:rsidR="002E5C0C">
        <w:rPr>
          <w:rFonts w:ascii="Arial" w:hAnsi="Arial" w:cs="Arial"/>
          <w:i w:val="0"/>
          <w:iCs/>
        </w:rPr>
        <w:t xml:space="preserve"> Kundinnen und</w:t>
      </w:r>
      <w:r w:rsidRPr="004151FF">
        <w:rPr>
          <w:rFonts w:ascii="Arial" w:hAnsi="Arial" w:cs="Arial"/>
          <w:i w:val="0"/>
          <w:iCs/>
        </w:rPr>
        <w:t xml:space="preserve"> Kunden gelangen dann sowohl bei Strom als auch </w:t>
      </w:r>
      <w:r w:rsidR="005624BE">
        <w:rPr>
          <w:rFonts w:ascii="Arial" w:hAnsi="Arial" w:cs="Arial"/>
          <w:i w:val="0"/>
          <w:iCs/>
        </w:rPr>
        <w:t xml:space="preserve">bei </w:t>
      </w:r>
      <w:r w:rsidRPr="004151FF">
        <w:rPr>
          <w:rFonts w:ascii="Arial" w:hAnsi="Arial" w:cs="Arial"/>
          <w:i w:val="0"/>
          <w:iCs/>
        </w:rPr>
        <w:t xml:space="preserve">Gas automatisch in die Grundversorgung. </w:t>
      </w:r>
    </w:p>
    <w:p w14:paraId="5318D7FC" w14:textId="1ED540C2" w:rsidR="004151FF" w:rsidRPr="004151FF" w:rsidRDefault="004151FF" w:rsidP="00AD3F10">
      <w:pPr>
        <w:spacing w:before="240" w:line="240" w:lineRule="auto"/>
        <w:jc w:val="both"/>
        <w:rPr>
          <w:rFonts w:eastAsia="Arial" w:cs="Arial"/>
          <w:i/>
          <w:sz w:val="20"/>
          <w:lang w:eastAsia="en-US"/>
        </w:rPr>
      </w:pPr>
      <w:r w:rsidRPr="004151FF">
        <w:rPr>
          <w:rFonts w:cs="Arial"/>
          <w:iCs/>
          <w:sz w:val="20"/>
        </w:rPr>
        <w:lastRenderedPageBreak/>
        <w:t>Dies vorausgeschickt</w:t>
      </w:r>
      <w:r w:rsidR="007F5DAC">
        <w:rPr>
          <w:rFonts w:cs="Arial"/>
          <w:iCs/>
          <w:sz w:val="20"/>
        </w:rPr>
        <w:t>,</w:t>
      </w:r>
      <w:r w:rsidRPr="004151FF">
        <w:rPr>
          <w:rFonts w:cs="Arial"/>
          <w:iCs/>
          <w:sz w:val="20"/>
        </w:rPr>
        <w:t xml:space="preserve"> beantwortet der Senat die Fragen teilweise auf der Grundlage von Auskünften der Unternehmen Stromnetz Hamburg, Hamburger Energiewerke, Gasnetz Hamburg, Hamburg Wasser und Vattenfall Europe Sales wie folgt</w:t>
      </w:r>
      <w:r w:rsidR="007F5DAC">
        <w:rPr>
          <w:rFonts w:cs="Arial"/>
          <w:iCs/>
          <w:sz w:val="20"/>
        </w:rPr>
        <w:t>:</w:t>
      </w:r>
    </w:p>
    <w:p w14:paraId="3CFB0874" w14:textId="3FC36FB0" w:rsidR="009C64BB" w:rsidRPr="003656D8" w:rsidRDefault="00C911F2" w:rsidP="00AD3F10">
      <w:pPr>
        <w:pStyle w:val="Frage-Nummerierung1"/>
        <w:numPr>
          <w:ilvl w:val="0"/>
          <w:numId w:val="3"/>
        </w:numPr>
      </w:pPr>
      <w:r w:rsidRPr="00157D3F">
        <w:t>Wie vielen Pri</w:t>
      </w:r>
      <w:r>
        <w:t xml:space="preserve">vathaushalten in Hamburg wurde im 1. und 2. Quartal 2023 </w:t>
      </w:r>
      <w:r w:rsidRPr="00157D3F">
        <w:t>die Stromversorgung gesperrt? Bitte quartalsweise angeben.</w:t>
      </w:r>
    </w:p>
    <w:p w14:paraId="60F69C49" w14:textId="7CB15759" w:rsidR="002A13AA" w:rsidRDefault="002A13AA" w:rsidP="00AD3F10">
      <w:pPr>
        <w:spacing w:before="240" w:line="240" w:lineRule="auto"/>
        <w:jc w:val="both"/>
        <w:outlineLvl w:val="2"/>
        <w:rPr>
          <w:rFonts w:cs="Arial"/>
          <w:sz w:val="20"/>
          <w:lang w:eastAsia="en-US"/>
        </w:rPr>
      </w:pPr>
      <w:r w:rsidRPr="002A13AA">
        <w:rPr>
          <w:rFonts w:cs="Arial"/>
          <w:sz w:val="20"/>
          <w:lang w:eastAsia="en-US"/>
        </w:rPr>
        <w:t>Stromsperrungen bei SLP-Kundinnen/Kunden</w:t>
      </w:r>
      <w:r w:rsidRPr="002A13AA">
        <w:rPr>
          <w:rFonts w:cs="Arial"/>
          <w:sz w:val="20"/>
          <w:vertAlign w:val="superscript"/>
          <w:lang w:eastAsia="en-US"/>
        </w:rPr>
        <w:t>1</w:t>
      </w:r>
      <w:r w:rsidRPr="002A13AA">
        <w:rPr>
          <w:rFonts w:cs="Arial"/>
          <w:sz w:val="20"/>
          <w:lang w:eastAsia="en-US"/>
        </w:rPr>
        <w:t xml:space="preserve"> im Auftrag der Stromlieferanten:</w:t>
      </w:r>
    </w:p>
    <w:p w14:paraId="3A70DD74" w14:textId="77777777" w:rsidR="002A13AA" w:rsidRPr="002A13AA" w:rsidRDefault="002A13AA" w:rsidP="00125EFF">
      <w:pPr>
        <w:spacing w:line="240" w:lineRule="auto"/>
        <w:jc w:val="both"/>
        <w:outlineLvl w:val="2"/>
        <w:rPr>
          <w:rFonts w:cs="Arial"/>
          <w:sz w:val="20"/>
          <w:lang w:eastAsia="en-US"/>
        </w:rPr>
      </w:pPr>
    </w:p>
    <w:tbl>
      <w:tblPr>
        <w:tblStyle w:val="Tabellenraster"/>
        <w:tblW w:w="5000" w:type="pct"/>
        <w:tblInd w:w="-5" w:type="dxa"/>
        <w:tblCellMar>
          <w:top w:w="85" w:type="dxa"/>
          <w:bottom w:w="85" w:type="dxa"/>
        </w:tblCellMar>
        <w:tblLook w:val="04A0" w:firstRow="1" w:lastRow="0" w:firstColumn="1" w:lastColumn="0" w:noHBand="0" w:noVBand="1"/>
      </w:tblPr>
      <w:tblGrid>
        <w:gridCol w:w="3441"/>
        <w:gridCol w:w="5620"/>
      </w:tblGrid>
      <w:tr w:rsidR="002A13AA" w:rsidRPr="002A13AA" w14:paraId="20C5DCAD" w14:textId="77777777" w:rsidTr="00125EFF">
        <w:trPr>
          <w:trHeight w:val="226"/>
        </w:trPr>
        <w:tc>
          <w:tcPr>
            <w:tcW w:w="1899" w:type="pct"/>
          </w:tcPr>
          <w:p w14:paraId="6FD681AC" w14:textId="77777777" w:rsidR="002A13AA" w:rsidRPr="002A13AA" w:rsidRDefault="002A13AA" w:rsidP="00125EFF">
            <w:pPr>
              <w:spacing w:line="240" w:lineRule="auto"/>
              <w:jc w:val="both"/>
              <w:outlineLvl w:val="2"/>
              <w:rPr>
                <w:rFonts w:cs="Arial"/>
                <w:sz w:val="20"/>
              </w:rPr>
            </w:pPr>
            <w:r w:rsidRPr="002A13AA">
              <w:rPr>
                <w:rFonts w:cs="Arial"/>
                <w:sz w:val="20"/>
              </w:rPr>
              <w:t>1. Quartal 2023</w:t>
            </w:r>
          </w:p>
        </w:tc>
        <w:tc>
          <w:tcPr>
            <w:tcW w:w="3101" w:type="pct"/>
            <w:vAlign w:val="center"/>
          </w:tcPr>
          <w:p w14:paraId="13398592" w14:textId="77777777" w:rsidR="002A13AA" w:rsidRPr="002A13AA" w:rsidRDefault="002A13AA" w:rsidP="00125EFF">
            <w:pPr>
              <w:spacing w:line="240" w:lineRule="auto"/>
              <w:ind w:left="704"/>
              <w:jc w:val="both"/>
              <w:outlineLvl w:val="2"/>
              <w:rPr>
                <w:rFonts w:cs="Arial"/>
                <w:i/>
                <w:sz w:val="20"/>
              </w:rPr>
            </w:pPr>
            <w:r w:rsidRPr="002A13AA">
              <w:rPr>
                <w:rFonts w:cs="Arial"/>
                <w:i/>
                <w:sz w:val="20"/>
              </w:rPr>
              <w:t>135</w:t>
            </w:r>
          </w:p>
        </w:tc>
      </w:tr>
      <w:tr w:rsidR="002A13AA" w:rsidRPr="002A13AA" w14:paraId="6BF8DF40" w14:textId="77777777" w:rsidTr="00125EFF">
        <w:tc>
          <w:tcPr>
            <w:tcW w:w="1899" w:type="pct"/>
          </w:tcPr>
          <w:p w14:paraId="61AF99E2" w14:textId="77777777" w:rsidR="002A13AA" w:rsidRPr="002A13AA" w:rsidRDefault="002A13AA" w:rsidP="00125EFF">
            <w:pPr>
              <w:spacing w:line="240" w:lineRule="auto"/>
              <w:jc w:val="both"/>
              <w:outlineLvl w:val="2"/>
              <w:rPr>
                <w:rFonts w:cs="Arial"/>
                <w:sz w:val="20"/>
              </w:rPr>
            </w:pPr>
            <w:r w:rsidRPr="002A13AA">
              <w:rPr>
                <w:rFonts w:cs="Arial"/>
                <w:sz w:val="20"/>
              </w:rPr>
              <w:t>2. Quartal 2023</w:t>
            </w:r>
          </w:p>
        </w:tc>
        <w:tc>
          <w:tcPr>
            <w:tcW w:w="3101" w:type="pct"/>
            <w:vAlign w:val="center"/>
          </w:tcPr>
          <w:p w14:paraId="28AF666B" w14:textId="77777777" w:rsidR="002A13AA" w:rsidRPr="002A13AA" w:rsidRDefault="002A13AA" w:rsidP="00125EFF">
            <w:pPr>
              <w:spacing w:line="240" w:lineRule="auto"/>
              <w:ind w:left="704"/>
              <w:jc w:val="both"/>
              <w:outlineLvl w:val="2"/>
              <w:rPr>
                <w:rFonts w:cs="Arial"/>
                <w:i/>
                <w:sz w:val="20"/>
              </w:rPr>
            </w:pPr>
            <w:r w:rsidRPr="002A13AA">
              <w:rPr>
                <w:rFonts w:cs="Arial"/>
                <w:i/>
                <w:sz w:val="20"/>
              </w:rPr>
              <w:t>126</w:t>
            </w:r>
          </w:p>
        </w:tc>
      </w:tr>
    </w:tbl>
    <w:p w14:paraId="2B8E4A4C" w14:textId="32BA0241" w:rsidR="00A46F5D" w:rsidRPr="001254A7" w:rsidRDefault="002A13AA" w:rsidP="00AD3F10">
      <w:pPr>
        <w:spacing w:before="240" w:line="240" w:lineRule="auto"/>
        <w:jc w:val="both"/>
        <w:outlineLvl w:val="2"/>
        <w:rPr>
          <w:rFonts w:cs="Arial"/>
          <w:sz w:val="20"/>
          <w:lang w:eastAsia="en-US"/>
        </w:rPr>
      </w:pPr>
      <w:r w:rsidRPr="002A13AA">
        <w:rPr>
          <w:rFonts w:cs="Arial"/>
          <w:sz w:val="18"/>
          <w:vertAlign w:val="superscript"/>
          <w:lang w:eastAsia="en-US"/>
        </w:rPr>
        <w:t xml:space="preserve">1 </w:t>
      </w:r>
      <w:r w:rsidRPr="002A13AA">
        <w:rPr>
          <w:rFonts w:cs="Arial"/>
          <w:sz w:val="18"/>
          <w:lang w:eastAsia="en-US"/>
        </w:rPr>
        <w:t>Bei SLP-Kundinnen/Kunden handelt es sich um Kundinnen/Kunden mit einem Jahresverbrauch von unter 100.000 kWh. Eine Unterscheidung nach Privathaushalten kann vom Stromnetzbetreiber nicht vorgenommen werden</w:t>
      </w:r>
      <w:r w:rsidRPr="002A13AA">
        <w:rPr>
          <w:rFonts w:cs="Arial"/>
          <w:sz w:val="20"/>
          <w:lang w:eastAsia="en-US"/>
        </w:rPr>
        <w:t>.</w:t>
      </w:r>
    </w:p>
    <w:p w14:paraId="2936FE1A" w14:textId="77777777" w:rsidR="00A46F5D" w:rsidRPr="00295F35" w:rsidRDefault="00A46F5D" w:rsidP="00AD3F10">
      <w:pPr>
        <w:pStyle w:val="Frage-Nummerierung1"/>
        <w:numPr>
          <w:ilvl w:val="0"/>
          <w:numId w:val="0"/>
        </w:numPr>
        <w:spacing w:before="0"/>
        <w:ind w:left="1588" w:hanging="1588"/>
      </w:pPr>
    </w:p>
    <w:p w14:paraId="3FBEF4ED" w14:textId="64FB999A" w:rsidR="00295F35" w:rsidRDefault="00C911F2" w:rsidP="00AD3F10">
      <w:pPr>
        <w:pStyle w:val="Frage-Nummerierung1"/>
        <w:spacing w:before="0"/>
      </w:pPr>
      <w:r w:rsidRPr="00C911F2">
        <w:t>Wie viele Mahnverfahren wegen nicht bezahlter Stromrechnungen hat der auch als Grundversorger</w:t>
      </w:r>
      <w:r>
        <w:t xml:space="preserve"> fungierende Konzern Vattenfall beziehungsweise Hamburg Energie jeweils </w:t>
      </w:r>
      <w:r w:rsidR="006B7604">
        <w:t xml:space="preserve">im 1. </w:t>
      </w:r>
      <w:r w:rsidR="009E13D8">
        <w:t>U</w:t>
      </w:r>
      <w:r w:rsidR="006B7604">
        <w:t>nd 2. Quartal 2023 eingeleitet? Bitte analog zu Drs. 21/18665 jeweils quartalsweise benennen.</w:t>
      </w:r>
    </w:p>
    <w:p w14:paraId="43618F62" w14:textId="329FE6CF" w:rsidR="002A13AA" w:rsidRPr="002A13AA" w:rsidRDefault="002A13AA" w:rsidP="00AD3F10">
      <w:pPr>
        <w:pStyle w:val="FrageNummer1"/>
        <w:spacing w:after="120"/>
        <w:ind w:left="0" w:firstLine="0"/>
        <w:rPr>
          <w:rFonts w:ascii="Arial" w:eastAsia="Arial" w:hAnsi="Arial" w:cs="Times New Roman"/>
          <w:i w:val="0"/>
          <w:iCs/>
        </w:rPr>
      </w:pPr>
      <w:r w:rsidRPr="002A13AA">
        <w:rPr>
          <w:rFonts w:ascii="Arial" w:eastAsia="Arial" w:hAnsi="Arial" w:cs="Times New Roman"/>
          <w:i w:val="0"/>
          <w:iCs/>
        </w:rPr>
        <w:t>Mahnverfahren von Hamburg Energie:</w:t>
      </w:r>
    </w:p>
    <w:tbl>
      <w:tblPr>
        <w:tblStyle w:val="Tabellenraster2"/>
        <w:tblW w:w="9072" w:type="dxa"/>
        <w:tblInd w:w="-5" w:type="dxa"/>
        <w:tblLook w:val="04A0" w:firstRow="1" w:lastRow="0" w:firstColumn="1" w:lastColumn="0" w:noHBand="0" w:noVBand="1"/>
      </w:tblPr>
      <w:tblGrid>
        <w:gridCol w:w="2552"/>
        <w:gridCol w:w="2268"/>
        <w:gridCol w:w="4252"/>
      </w:tblGrid>
      <w:tr w:rsidR="002A13AA" w:rsidRPr="002A13AA" w14:paraId="55D275D8" w14:textId="77777777" w:rsidTr="00125EFF">
        <w:tc>
          <w:tcPr>
            <w:tcW w:w="2552" w:type="dxa"/>
            <w:vMerge w:val="restart"/>
            <w:vAlign w:val="center"/>
          </w:tcPr>
          <w:p w14:paraId="10C67806" w14:textId="77777777" w:rsidR="002A13AA" w:rsidRPr="002A13AA" w:rsidRDefault="002A13AA" w:rsidP="00125EFF">
            <w:pPr>
              <w:spacing w:after="60" w:line="240" w:lineRule="auto"/>
              <w:jc w:val="center"/>
              <w:outlineLvl w:val="2"/>
              <w:rPr>
                <w:iCs/>
                <w:sz w:val="20"/>
              </w:rPr>
            </w:pPr>
            <w:r w:rsidRPr="002A13AA">
              <w:rPr>
                <w:iCs/>
                <w:sz w:val="20"/>
              </w:rPr>
              <w:t>1. Quartal 2023</w:t>
            </w:r>
          </w:p>
        </w:tc>
        <w:tc>
          <w:tcPr>
            <w:tcW w:w="2268" w:type="dxa"/>
          </w:tcPr>
          <w:p w14:paraId="28F7345B" w14:textId="77777777" w:rsidR="002A13AA" w:rsidRPr="002A13AA" w:rsidRDefault="002A13AA" w:rsidP="00125EFF">
            <w:pPr>
              <w:spacing w:after="60" w:line="240" w:lineRule="auto"/>
              <w:ind w:left="312"/>
              <w:jc w:val="both"/>
              <w:outlineLvl w:val="2"/>
              <w:rPr>
                <w:iCs/>
                <w:sz w:val="20"/>
              </w:rPr>
            </w:pPr>
            <w:r w:rsidRPr="002A13AA">
              <w:rPr>
                <w:iCs/>
                <w:sz w:val="20"/>
              </w:rPr>
              <w:t>1. Mahnung</w:t>
            </w:r>
          </w:p>
        </w:tc>
        <w:tc>
          <w:tcPr>
            <w:tcW w:w="4252" w:type="dxa"/>
          </w:tcPr>
          <w:p w14:paraId="2EA0470C" w14:textId="77777777" w:rsidR="002A13AA" w:rsidRPr="002A13AA" w:rsidRDefault="002A13AA" w:rsidP="00125EFF">
            <w:pPr>
              <w:spacing w:after="60" w:line="240" w:lineRule="auto"/>
              <w:ind w:left="312"/>
              <w:jc w:val="both"/>
              <w:outlineLvl w:val="2"/>
              <w:rPr>
                <w:iCs/>
                <w:sz w:val="20"/>
              </w:rPr>
            </w:pPr>
            <w:r w:rsidRPr="002A13AA">
              <w:rPr>
                <w:iCs/>
                <w:sz w:val="20"/>
              </w:rPr>
              <w:t>8.251</w:t>
            </w:r>
          </w:p>
        </w:tc>
      </w:tr>
      <w:tr w:rsidR="002A13AA" w:rsidRPr="002A13AA" w14:paraId="7F826735" w14:textId="77777777" w:rsidTr="00125EFF">
        <w:tc>
          <w:tcPr>
            <w:tcW w:w="2552" w:type="dxa"/>
            <w:vMerge/>
            <w:vAlign w:val="center"/>
          </w:tcPr>
          <w:p w14:paraId="05FFBB2F" w14:textId="77777777" w:rsidR="002A13AA" w:rsidRPr="002A13AA" w:rsidRDefault="002A13AA" w:rsidP="00125EFF">
            <w:pPr>
              <w:spacing w:after="60" w:line="240" w:lineRule="auto"/>
              <w:jc w:val="center"/>
              <w:outlineLvl w:val="2"/>
              <w:rPr>
                <w:iCs/>
                <w:sz w:val="20"/>
              </w:rPr>
            </w:pPr>
          </w:p>
        </w:tc>
        <w:tc>
          <w:tcPr>
            <w:tcW w:w="2268" w:type="dxa"/>
          </w:tcPr>
          <w:p w14:paraId="3EBCBA23" w14:textId="77777777" w:rsidR="002A13AA" w:rsidRPr="002A13AA" w:rsidRDefault="002A13AA" w:rsidP="00125EFF">
            <w:pPr>
              <w:spacing w:after="60" w:line="240" w:lineRule="auto"/>
              <w:ind w:left="312"/>
              <w:jc w:val="both"/>
              <w:outlineLvl w:val="2"/>
              <w:rPr>
                <w:iCs/>
                <w:sz w:val="20"/>
              </w:rPr>
            </w:pPr>
            <w:r w:rsidRPr="002A13AA">
              <w:rPr>
                <w:iCs/>
                <w:sz w:val="20"/>
              </w:rPr>
              <w:t>2. Mahnung</w:t>
            </w:r>
          </w:p>
        </w:tc>
        <w:tc>
          <w:tcPr>
            <w:tcW w:w="4252" w:type="dxa"/>
          </w:tcPr>
          <w:p w14:paraId="693DB62A" w14:textId="77777777" w:rsidR="002A13AA" w:rsidRPr="002A13AA" w:rsidRDefault="002A13AA" w:rsidP="00125EFF">
            <w:pPr>
              <w:spacing w:after="60" w:line="240" w:lineRule="auto"/>
              <w:ind w:left="312"/>
              <w:jc w:val="both"/>
              <w:outlineLvl w:val="2"/>
              <w:rPr>
                <w:iCs/>
                <w:sz w:val="20"/>
              </w:rPr>
            </w:pPr>
            <w:r w:rsidRPr="002A13AA">
              <w:rPr>
                <w:iCs/>
                <w:sz w:val="20"/>
              </w:rPr>
              <w:t>2.047</w:t>
            </w:r>
          </w:p>
        </w:tc>
      </w:tr>
      <w:tr w:rsidR="002A13AA" w:rsidRPr="002A13AA" w14:paraId="6521A4F6" w14:textId="77777777" w:rsidTr="00125EFF">
        <w:tc>
          <w:tcPr>
            <w:tcW w:w="2552" w:type="dxa"/>
            <w:vMerge w:val="restart"/>
            <w:vAlign w:val="center"/>
          </w:tcPr>
          <w:p w14:paraId="48BE696B" w14:textId="77777777" w:rsidR="002A13AA" w:rsidRPr="002A13AA" w:rsidRDefault="002A13AA" w:rsidP="00125EFF">
            <w:pPr>
              <w:spacing w:after="60" w:line="240" w:lineRule="auto"/>
              <w:jc w:val="center"/>
              <w:outlineLvl w:val="2"/>
              <w:rPr>
                <w:iCs/>
                <w:sz w:val="20"/>
              </w:rPr>
            </w:pPr>
            <w:r w:rsidRPr="002A13AA">
              <w:rPr>
                <w:iCs/>
                <w:sz w:val="20"/>
              </w:rPr>
              <w:t>2. Quartal 2023</w:t>
            </w:r>
          </w:p>
        </w:tc>
        <w:tc>
          <w:tcPr>
            <w:tcW w:w="2268" w:type="dxa"/>
          </w:tcPr>
          <w:p w14:paraId="4BDF0FCD" w14:textId="77777777" w:rsidR="002A13AA" w:rsidRPr="002A13AA" w:rsidRDefault="002A13AA" w:rsidP="00125EFF">
            <w:pPr>
              <w:spacing w:after="60" w:line="240" w:lineRule="auto"/>
              <w:ind w:left="312"/>
              <w:jc w:val="both"/>
              <w:outlineLvl w:val="2"/>
              <w:rPr>
                <w:iCs/>
                <w:sz w:val="20"/>
              </w:rPr>
            </w:pPr>
            <w:r w:rsidRPr="002A13AA">
              <w:rPr>
                <w:iCs/>
                <w:sz w:val="20"/>
              </w:rPr>
              <w:t>1. Mahnung</w:t>
            </w:r>
          </w:p>
        </w:tc>
        <w:tc>
          <w:tcPr>
            <w:tcW w:w="4252" w:type="dxa"/>
          </w:tcPr>
          <w:p w14:paraId="476E14D2" w14:textId="77777777" w:rsidR="002A13AA" w:rsidRPr="002A13AA" w:rsidRDefault="002A13AA" w:rsidP="00125EFF">
            <w:pPr>
              <w:spacing w:after="60" w:line="240" w:lineRule="auto"/>
              <w:ind w:left="312"/>
              <w:jc w:val="both"/>
              <w:outlineLvl w:val="2"/>
              <w:rPr>
                <w:iCs/>
                <w:sz w:val="20"/>
              </w:rPr>
            </w:pPr>
            <w:r w:rsidRPr="002A13AA">
              <w:rPr>
                <w:iCs/>
                <w:sz w:val="20"/>
              </w:rPr>
              <w:t>6.537</w:t>
            </w:r>
          </w:p>
        </w:tc>
      </w:tr>
      <w:tr w:rsidR="002A13AA" w:rsidRPr="002A13AA" w14:paraId="412DB9DA" w14:textId="77777777" w:rsidTr="00125EFF">
        <w:tc>
          <w:tcPr>
            <w:tcW w:w="2552" w:type="dxa"/>
            <w:vMerge/>
          </w:tcPr>
          <w:p w14:paraId="56C2680D" w14:textId="77777777" w:rsidR="002A13AA" w:rsidRPr="002A13AA" w:rsidRDefault="002A13AA" w:rsidP="00125EFF">
            <w:pPr>
              <w:spacing w:after="60" w:line="240" w:lineRule="auto"/>
              <w:jc w:val="both"/>
              <w:outlineLvl w:val="2"/>
              <w:rPr>
                <w:iCs/>
                <w:sz w:val="20"/>
              </w:rPr>
            </w:pPr>
          </w:p>
        </w:tc>
        <w:tc>
          <w:tcPr>
            <w:tcW w:w="2268" w:type="dxa"/>
          </w:tcPr>
          <w:p w14:paraId="7B1EB022" w14:textId="77777777" w:rsidR="002A13AA" w:rsidRPr="002A13AA" w:rsidRDefault="002A13AA" w:rsidP="00125EFF">
            <w:pPr>
              <w:spacing w:after="60" w:line="240" w:lineRule="auto"/>
              <w:ind w:left="312"/>
              <w:jc w:val="both"/>
              <w:outlineLvl w:val="2"/>
              <w:rPr>
                <w:iCs/>
                <w:sz w:val="20"/>
              </w:rPr>
            </w:pPr>
            <w:r w:rsidRPr="002A13AA">
              <w:rPr>
                <w:iCs/>
                <w:sz w:val="20"/>
              </w:rPr>
              <w:t>2. Mahnung</w:t>
            </w:r>
          </w:p>
        </w:tc>
        <w:tc>
          <w:tcPr>
            <w:tcW w:w="4252" w:type="dxa"/>
          </w:tcPr>
          <w:p w14:paraId="6357FA64" w14:textId="77777777" w:rsidR="002A13AA" w:rsidRPr="002A13AA" w:rsidRDefault="002A13AA" w:rsidP="00125EFF">
            <w:pPr>
              <w:spacing w:after="60" w:line="240" w:lineRule="auto"/>
              <w:ind w:left="312"/>
              <w:jc w:val="both"/>
              <w:outlineLvl w:val="2"/>
              <w:rPr>
                <w:iCs/>
                <w:sz w:val="20"/>
              </w:rPr>
            </w:pPr>
            <w:r w:rsidRPr="002A13AA">
              <w:rPr>
                <w:iCs/>
                <w:sz w:val="20"/>
              </w:rPr>
              <w:t>2.257</w:t>
            </w:r>
          </w:p>
        </w:tc>
      </w:tr>
    </w:tbl>
    <w:p w14:paraId="5591B1FB" w14:textId="77777777" w:rsidR="002A13AA" w:rsidRDefault="002A13AA" w:rsidP="00AD3F10">
      <w:pPr>
        <w:pStyle w:val="Frage-Nummerierung1"/>
        <w:numPr>
          <w:ilvl w:val="0"/>
          <w:numId w:val="0"/>
        </w:numPr>
        <w:spacing w:before="0"/>
        <w:rPr>
          <w:i w:val="0"/>
        </w:rPr>
      </w:pPr>
    </w:p>
    <w:p w14:paraId="19E00631" w14:textId="685665F1" w:rsidR="00A46F5D" w:rsidRDefault="002A13AA" w:rsidP="00AD3F10">
      <w:pPr>
        <w:pStyle w:val="Frage-Nummerierung1"/>
        <w:numPr>
          <w:ilvl w:val="0"/>
          <w:numId w:val="0"/>
        </w:numPr>
        <w:spacing w:before="0"/>
        <w:rPr>
          <w:i w:val="0"/>
        </w:rPr>
      </w:pPr>
      <w:r w:rsidRPr="002A13AA">
        <w:rPr>
          <w:i w:val="0"/>
        </w:rPr>
        <w:t>Der Grundversorger Vattenfall Europe Sales konnte in der zur Verfügung stehenden Zeit keine Daten zu Mahnverfahren bereitstellen.</w:t>
      </w:r>
    </w:p>
    <w:p w14:paraId="21913F6C" w14:textId="77777777" w:rsidR="00295F35" w:rsidRPr="00295F35" w:rsidRDefault="00295F35" w:rsidP="00AD3F10">
      <w:pPr>
        <w:pStyle w:val="Frage-Nummerierung1"/>
        <w:numPr>
          <w:ilvl w:val="0"/>
          <w:numId w:val="0"/>
        </w:numPr>
        <w:spacing w:before="0"/>
        <w:ind w:left="1588" w:hanging="1588"/>
      </w:pPr>
    </w:p>
    <w:p w14:paraId="63D53B9E" w14:textId="1305E9FF" w:rsidR="003C4F75" w:rsidRDefault="0058657B" w:rsidP="00AD3F10">
      <w:pPr>
        <w:pStyle w:val="Frage-Nummerierung1"/>
        <w:spacing w:before="0"/>
        <w:ind w:left="1701" w:hanging="1701"/>
      </w:pPr>
      <w:r w:rsidRPr="0058657B">
        <w:t>Wie vielen Privathaushalten in Hamburg wurde im 1. und 2. Quartal 2023 die Gasversorgung gesperrt? Bitte jeweils quartalsweise benennen</w:t>
      </w:r>
      <w:r>
        <w:t>.</w:t>
      </w:r>
    </w:p>
    <w:p w14:paraId="509FBD8C" w14:textId="1B377D07" w:rsidR="003C4F75" w:rsidRDefault="003C4F75" w:rsidP="00AD3F10">
      <w:pPr>
        <w:pStyle w:val="Frage-Nummerierung1"/>
        <w:numPr>
          <w:ilvl w:val="0"/>
          <w:numId w:val="0"/>
        </w:numPr>
        <w:spacing w:before="0"/>
        <w:ind w:left="1588" w:hanging="1588"/>
      </w:pPr>
    </w:p>
    <w:p w14:paraId="1E839340" w14:textId="2FA35C99" w:rsidR="002A13AA" w:rsidRPr="002A13AA" w:rsidRDefault="002A13AA" w:rsidP="00AD3F10">
      <w:pPr>
        <w:pStyle w:val="FrageNummer1"/>
        <w:spacing w:before="0"/>
        <w:rPr>
          <w:rFonts w:ascii="Arial" w:eastAsia="Arial" w:hAnsi="Arial" w:cs="Times New Roman"/>
          <w:i w:val="0"/>
        </w:rPr>
      </w:pPr>
      <w:r w:rsidRPr="002A13AA">
        <w:rPr>
          <w:rFonts w:ascii="Arial" w:eastAsia="Arial" w:hAnsi="Arial" w:cs="Times New Roman"/>
          <w:i w:val="0"/>
        </w:rPr>
        <w:t>Gassperrungen bei SLP-Kundinnen/Kunden</w:t>
      </w:r>
      <w:r w:rsidRPr="002A13AA">
        <w:rPr>
          <w:rFonts w:ascii="Arial" w:eastAsia="Arial" w:hAnsi="Arial" w:cs="Times New Roman"/>
          <w:i w:val="0"/>
          <w:vertAlign w:val="superscript"/>
        </w:rPr>
        <w:t>1</w:t>
      </w:r>
      <w:r w:rsidRPr="002A13AA">
        <w:rPr>
          <w:rFonts w:ascii="Arial" w:eastAsia="Arial" w:hAnsi="Arial" w:cs="Times New Roman"/>
          <w:i w:val="0"/>
        </w:rPr>
        <w:t xml:space="preserve"> im Auftrag der Gaslieferanten:</w:t>
      </w:r>
    </w:p>
    <w:p w14:paraId="38B4B5FF" w14:textId="77777777" w:rsidR="002A13AA" w:rsidRPr="002A13AA" w:rsidRDefault="002A13AA" w:rsidP="00AD3F10">
      <w:pPr>
        <w:spacing w:line="240" w:lineRule="auto"/>
        <w:ind w:left="1588" w:hanging="1588"/>
        <w:jc w:val="both"/>
        <w:outlineLvl w:val="2"/>
        <w:rPr>
          <w:rFonts w:eastAsia="Arial"/>
          <w:sz w:val="20"/>
          <w:lang w:eastAsia="en-US"/>
        </w:rPr>
      </w:pPr>
    </w:p>
    <w:tbl>
      <w:tblPr>
        <w:tblStyle w:val="Tabellenraster3"/>
        <w:tblW w:w="5000" w:type="pct"/>
        <w:tblInd w:w="-5" w:type="dxa"/>
        <w:tblCellMar>
          <w:top w:w="85" w:type="dxa"/>
          <w:bottom w:w="85" w:type="dxa"/>
        </w:tblCellMar>
        <w:tblLook w:val="04A0" w:firstRow="1" w:lastRow="0" w:firstColumn="1" w:lastColumn="0" w:noHBand="0" w:noVBand="1"/>
      </w:tblPr>
      <w:tblGrid>
        <w:gridCol w:w="3572"/>
        <w:gridCol w:w="5489"/>
      </w:tblGrid>
      <w:tr w:rsidR="002A13AA" w:rsidRPr="002A13AA" w14:paraId="0CD9DFCB" w14:textId="77777777" w:rsidTr="00125EFF">
        <w:tc>
          <w:tcPr>
            <w:tcW w:w="1971" w:type="pct"/>
          </w:tcPr>
          <w:p w14:paraId="07B6D6E0" w14:textId="77777777" w:rsidR="002A13AA" w:rsidRPr="002A13AA" w:rsidRDefault="002A13AA" w:rsidP="00AD3F10">
            <w:pPr>
              <w:spacing w:line="240" w:lineRule="auto"/>
              <w:jc w:val="both"/>
              <w:outlineLvl w:val="2"/>
              <w:rPr>
                <w:sz w:val="20"/>
              </w:rPr>
            </w:pPr>
            <w:r w:rsidRPr="002A13AA">
              <w:rPr>
                <w:sz w:val="20"/>
              </w:rPr>
              <w:t>1. Quartal 2023</w:t>
            </w:r>
          </w:p>
        </w:tc>
        <w:tc>
          <w:tcPr>
            <w:tcW w:w="3029" w:type="pct"/>
            <w:vAlign w:val="center"/>
          </w:tcPr>
          <w:p w14:paraId="0C5DFDAF" w14:textId="77777777" w:rsidR="002A13AA" w:rsidRPr="002A13AA" w:rsidRDefault="002A13AA" w:rsidP="00AD3F10">
            <w:pPr>
              <w:spacing w:line="240" w:lineRule="auto"/>
              <w:jc w:val="center"/>
              <w:outlineLvl w:val="2"/>
              <w:rPr>
                <w:sz w:val="20"/>
              </w:rPr>
            </w:pPr>
            <w:r w:rsidRPr="002A13AA">
              <w:rPr>
                <w:sz w:val="20"/>
              </w:rPr>
              <w:t>6</w:t>
            </w:r>
          </w:p>
        </w:tc>
      </w:tr>
      <w:tr w:rsidR="002A13AA" w:rsidRPr="002A13AA" w14:paraId="7B204C36" w14:textId="77777777" w:rsidTr="00125EFF">
        <w:tc>
          <w:tcPr>
            <w:tcW w:w="1971" w:type="pct"/>
          </w:tcPr>
          <w:p w14:paraId="1D6B3196" w14:textId="77777777" w:rsidR="002A13AA" w:rsidRPr="002A13AA" w:rsidRDefault="002A13AA" w:rsidP="00AD3F10">
            <w:pPr>
              <w:spacing w:line="240" w:lineRule="auto"/>
              <w:jc w:val="both"/>
              <w:outlineLvl w:val="2"/>
              <w:rPr>
                <w:sz w:val="20"/>
              </w:rPr>
            </w:pPr>
            <w:r w:rsidRPr="002A13AA">
              <w:rPr>
                <w:sz w:val="20"/>
              </w:rPr>
              <w:t>2. Quartal 2023</w:t>
            </w:r>
          </w:p>
        </w:tc>
        <w:tc>
          <w:tcPr>
            <w:tcW w:w="3029" w:type="pct"/>
            <w:vAlign w:val="center"/>
          </w:tcPr>
          <w:p w14:paraId="3459FBDE" w14:textId="77777777" w:rsidR="002A13AA" w:rsidRPr="002A13AA" w:rsidRDefault="002A13AA" w:rsidP="00AD3F10">
            <w:pPr>
              <w:spacing w:line="240" w:lineRule="auto"/>
              <w:jc w:val="center"/>
              <w:outlineLvl w:val="2"/>
              <w:rPr>
                <w:sz w:val="20"/>
              </w:rPr>
            </w:pPr>
            <w:r w:rsidRPr="002A13AA">
              <w:rPr>
                <w:sz w:val="20"/>
              </w:rPr>
              <w:t>1</w:t>
            </w:r>
          </w:p>
        </w:tc>
      </w:tr>
    </w:tbl>
    <w:p w14:paraId="425EFD21" w14:textId="77777777" w:rsidR="002A13AA" w:rsidRDefault="002A13AA" w:rsidP="00AD3F10">
      <w:pPr>
        <w:pStyle w:val="Frage-Nummerierung1"/>
        <w:numPr>
          <w:ilvl w:val="0"/>
          <w:numId w:val="0"/>
        </w:numPr>
        <w:spacing w:before="0"/>
        <w:rPr>
          <w:i w:val="0"/>
          <w:sz w:val="18"/>
          <w:szCs w:val="18"/>
          <w:vertAlign w:val="superscript"/>
        </w:rPr>
      </w:pPr>
    </w:p>
    <w:p w14:paraId="09A4FB5F" w14:textId="20FDC443" w:rsidR="003C4F75" w:rsidRPr="003C4F75" w:rsidRDefault="002A13AA" w:rsidP="00AD3F10">
      <w:pPr>
        <w:pStyle w:val="Frage-Nummerierung1"/>
        <w:numPr>
          <w:ilvl w:val="0"/>
          <w:numId w:val="0"/>
        </w:numPr>
        <w:spacing w:before="0"/>
        <w:rPr>
          <w:i w:val="0"/>
        </w:rPr>
      </w:pPr>
      <w:r w:rsidRPr="002A13AA">
        <w:rPr>
          <w:i w:val="0"/>
          <w:sz w:val="18"/>
          <w:szCs w:val="18"/>
          <w:vertAlign w:val="superscript"/>
        </w:rPr>
        <w:t xml:space="preserve">1 </w:t>
      </w:r>
      <w:r w:rsidRPr="002A13AA">
        <w:rPr>
          <w:i w:val="0"/>
          <w:sz w:val="18"/>
          <w:szCs w:val="18"/>
        </w:rPr>
        <w:t>Bei SLP-Kundinnen/Kunden handelt es sich um Kundinnen/Kunden mit einem Jahresverbrauch von unter 1,5 Mio. kWh und 500 kW. Eine Unterscheidung nach Privathaushalten kann vom Gasnetzbetreiber nicht vorgenommen werden.</w:t>
      </w:r>
    </w:p>
    <w:p w14:paraId="065D07A0" w14:textId="18C813FE" w:rsidR="003C4F75" w:rsidRDefault="0058657B" w:rsidP="00AD3F10">
      <w:pPr>
        <w:pStyle w:val="Frage-Nummerierung1"/>
      </w:pPr>
      <w:r>
        <w:t>Wie vielen Privathaushalten in Hamburg wurde im 1. und 2. Quartal 2023 die Wasserversorgung gesperrt? Bitte jeweils quartalsweise benennen.</w:t>
      </w:r>
    </w:p>
    <w:p w14:paraId="717452FF" w14:textId="540EE40B" w:rsidR="003C4F75" w:rsidRPr="003C4F75" w:rsidRDefault="003C4F75" w:rsidP="00AD3F10">
      <w:pPr>
        <w:pStyle w:val="Frage-Nummerierung1"/>
        <w:numPr>
          <w:ilvl w:val="0"/>
          <w:numId w:val="0"/>
        </w:numPr>
        <w:spacing w:before="0"/>
        <w:ind w:left="1588" w:hanging="1588"/>
        <w:rPr>
          <w:i w:val="0"/>
          <w:color w:val="FF0000"/>
        </w:rPr>
      </w:pPr>
    </w:p>
    <w:tbl>
      <w:tblPr>
        <w:tblStyle w:val="Tabellenraster4"/>
        <w:tblW w:w="5000" w:type="pct"/>
        <w:tblInd w:w="-5" w:type="dxa"/>
        <w:tblCellMar>
          <w:top w:w="85" w:type="dxa"/>
          <w:bottom w:w="85" w:type="dxa"/>
        </w:tblCellMar>
        <w:tblLook w:val="04A0" w:firstRow="1" w:lastRow="0" w:firstColumn="1" w:lastColumn="0" w:noHBand="0" w:noVBand="1"/>
      </w:tblPr>
      <w:tblGrid>
        <w:gridCol w:w="3425"/>
        <w:gridCol w:w="5636"/>
      </w:tblGrid>
      <w:tr w:rsidR="002A13AA" w:rsidRPr="002A13AA" w14:paraId="505D146E" w14:textId="77777777" w:rsidTr="00125EFF">
        <w:trPr>
          <w:trHeight w:val="158"/>
        </w:trPr>
        <w:tc>
          <w:tcPr>
            <w:tcW w:w="1890" w:type="pct"/>
          </w:tcPr>
          <w:p w14:paraId="3914E2E4" w14:textId="77777777" w:rsidR="002A13AA" w:rsidRPr="002A13AA" w:rsidRDefault="002A13AA" w:rsidP="00AD3F10">
            <w:pPr>
              <w:spacing w:line="240" w:lineRule="auto"/>
              <w:jc w:val="both"/>
              <w:outlineLvl w:val="2"/>
              <w:rPr>
                <w:sz w:val="20"/>
              </w:rPr>
            </w:pPr>
            <w:r w:rsidRPr="002A13AA">
              <w:rPr>
                <w:sz w:val="20"/>
              </w:rPr>
              <w:t>1. Quartal 2023</w:t>
            </w:r>
          </w:p>
        </w:tc>
        <w:tc>
          <w:tcPr>
            <w:tcW w:w="3110" w:type="pct"/>
            <w:vAlign w:val="center"/>
          </w:tcPr>
          <w:p w14:paraId="7151209D" w14:textId="77777777" w:rsidR="002A13AA" w:rsidRPr="002A13AA" w:rsidRDefault="002A13AA" w:rsidP="00AD3F10">
            <w:pPr>
              <w:spacing w:line="240" w:lineRule="auto"/>
              <w:jc w:val="center"/>
              <w:outlineLvl w:val="2"/>
              <w:rPr>
                <w:i/>
                <w:sz w:val="20"/>
              </w:rPr>
            </w:pPr>
            <w:r w:rsidRPr="002A13AA">
              <w:rPr>
                <w:i/>
                <w:sz w:val="20"/>
              </w:rPr>
              <w:t>117</w:t>
            </w:r>
          </w:p>
        </w:tc>
      </w:tr>
      <w:tr w:rsidR="002A13AA" w:rsidRPr="002A13AA" w14:paraId="261B04E6" w14:textId="77777777" w:rsidTr="00125EFF">
        <w:trPr>
          <w:trHeight w:val="37"/>
        </w:trPr>
        <w:tc>
          <w:tcPr>
            <w:tcW w:w="1890" w:type="pct"/>
          </w:tcPr>
          <w:p w14:paraId="1DE5A14C" w14:textId="77777777" w:rsidR="002A13AA" w:rsidRPr="002A13AA" w:rsidRDefault="002A13AA" w:rsidP="00AD3F10">
            <w:pPr>
              <w:spacing w:line="240" w:lineRule="auto"/>
              <w:jc w:val="both"/>
              <w:outlineLvl w:val="2"/>
              <w:rPr>
                <w:sz w:val="20"/>
              </w:rPr>
            </w:pPr>
            <w:r w:rsidRPr="002A13AA">
              <w:rPr>
                <w:sz w:val="20"/>
              </w:rPr>
              <w:t>2. Quartal 2023</w:t>
            </w:r>
          </w:p>
        </w:tc>
        <w:tc>
          <w:tcPr>
            <w:tcW w:w="3110" w:type="pct"/>
            <w:vAlign w:val="center"/>
          </w:tcPr>
          <w:p w14:paraId="0D699237" w14:textId="77777777" w:rsidR="002A13AA" w:rsidRPr="002A13AA" w:rsidRDefault="002A13AA" w:rsidP="00AD3F10">
            <w:pPr>
              <w:spacing w:line="240" w:lineRule="auto"/>
              <w:jc w:val="center"/>
              <w:outlineLvl w:val="2"/>
              <w:rPr>
                <w:i/>
                <w:sz w:val="20"/>
              </w:rPr>
            </w:pPr>
            <w:r w:rsidRPr="002A13AA">
              <w:rPr>
                <w:i/>
                <w:sz w:val="20"/>
              </w:rPr>
              <w:t>78</w:t>
            </w:r>
          </w:p>
        </w:tc>
      </w:tr>
    </w:tbl>
    <w:p w14:paraId="39FA35D4" w14:textId="6FA26314" w:rsidR="003C4F75" w:rsidRDefault="0058657B" w:rsidP="00AD3F10">
      <w:pPr>
        <w:pStyle w:val="Frage-Nummerierung1"/>
      </w:pPr>
      <w:r>
        <w:t>Wie viele Haushalte mit geringem Einkommen haben die Stromspar-helfer der Caritas und die Schuldnerberatungen beziehungsweise andere Organisationen im 1. und 2. Quartal 2023 beraten? Bitte nach Organisationen aufschlüsseln.</w:t>
      </w:r>
    </w:p>
    <w:p w14:paraId="78CFD75F" w14:textId="0E7B74F4" w:rsidR="002A13AA" w:rsidRPr="002A13AA" w:rsidRDefault="002A13AA" w:rsidP="00AD3F10">
      <w:pPr>
        <w:pStyle w:val="FrageNummer1"/>
        <w:spacing w:after="120"/>
        <w:rPr>
          <w:rFonts w:ascii="Arial" w:eastAsia="Arial" w:hAnsi="Arial" w:cs="Times New Roman"/>
          <w:i w:val="0"/>
        </w:rPr>
      </w:pPr>
      <w:r w:rsidRPr="002A13AA">
        <w:rPr>
          <w:rFonts w:ascii="Arial" w:eastAsia="Arial" w:hAnsi="Arial" w:cs="Times New Roman"/>
          <w:i w:val="0"/>
        </w:rPr>
        <w:t>Energiespar-Beratungen der Caritas:</w:t>
      </w:r>
    </w:p>
    <w:tbl>
      <w:tblPr>
        <w:tblStyle w:val="Tabellenraster5"/>
        <w:tblpPr w:leftFromText="141" w:rightFromText="141" w:vertAnchor="text" w:horzAnchor="page" w:tblpX="1496" w:tblpY="157"/>
        <w:tblW w:w="5000" w:type="pct"/>
        <w:tblCellMar>
          <w:top w:w="85" w:type="dxa"/>
          <w:bottom w:w="85" w:type="dxa"/>
        </w:tblCellMar>
        <w:tblLook w:val="04A0" w:firstRow="1" w:lastRow="0" w:firstColumn="1" w:lastColumn="0" w:noHBand="0" w:noVBand="1"/>
      </w:tblPr>
      <w:tblGrid>
        <w:gridCol w:w="3579"/>
        <w:gridCol w:w="5482"/>
      </w:tblGrid>
      <w:tr w:rsidR="002A13AA" w:rsidRPr="002A13AA" w14:paraId="24AD1B21" w14:textId="77777777" w:rsidTr="00125EFF">
        <w:tc>
          <w:tcPr>
            <w:tcW w:w="1975" w:type="pct"/>
          </w:tcPr>
          <w:p w14:paraId="28C460D1" w14:textId="77777777" w:rsidR="002A13AA" w:rsidRPr="002A13AA" w:rsidRDefault="002A13AA" w:rsidP="00125EFF">
            <w:pPr>
              <w:spacing w:line="240" w:lineRule="auto"/>
              <w:jc w:val="both"/>
              <w:outlineLvl w:val="2"/>
              <w:rPr>
                <w:sz w:val="20"/>
              </w:rPr>
            </w:pPr>
            <w:r w:rsidRPr="002A13AA">
              <w:rPr>
                <w:sz w:val="20"/>
              </w:rPr>
              <w:t>1. Quartal 2023</w:t>
            </w:r>
          </w:p>
        </w:tc>
        <w:tc>
          <w:tcPr>
            <w:tcW w:w="3025" w:type="pct"/>
            <w:vAlign w:val="center"/>
          </w:tcPr>
          <w:p w14:paraId="10C30540" w14:textId="77777777" w:rsidR="002A13AA" w:rsidRPr="002A13AA" w:rsidRDefault="002A13AA" w:rsidP="00125EFF">
            <w:pPr>
              <w:spacing w:line="240" w:lineRule="auto"/>
              <w:jc w:val="center"/>
              <w:outlineLvl w:val="2"/>
              <w:rPr>
                <w:sz w:val="20"/>
              </w:rPr>
            </w:pPr>
            <w:r w:rsidRPr="002A13AA">
              <w:rPr>
                <w:sz w:val="20"/>
              </w:rPr>
              <w:t>196</w:t>
            </w:r>
          </w:p>
        </w:tc>
      </w:tr>
      <w:tr w:rsidR="002A13AA" w:rsidRPr="002A13AA" w14:paraId="4323949C" w14:textId="77777777" w:rsidTr="00125EFF">
        <w:tc>
          <w:tcPr>
            <w:tcW w:w="1975" w:type="pct"/>
          </w:tcPr>
          <w:p w14:paraId="1FF68147" w14:textId="77777777" w:rsidR="002A13AA" w:rsidRPr="002A13AA" w:rsidRDefault="002A13AA" w:rsidP="00125EFF">
            <w:pPr>
              <w:spacing w:line="240" w:lineRule="auto"/>
              <w:jc w:val="both"/>
              <w:outlineLvl w:val="2"/>
              <w:rPr>
                <w:sz w:val="20"/>
              </w:rPr>
            </w:pPr>
            <w:r w:rsidRPr="002A13AA">
              <w:rPr>
                <w:sz w:val="20"/>
              </w:rPr>
              <w:lastRenderedPageBreak/>
              <w:t>2. Quartal 2023</w:t>
            </w:r>
          </w:p>
        </w:tc>
        <w:tc>
          <w:tcPr>
            <w:tcW w:w="3025" w:type="pct"/>
            <w:vAlign w:val="center"/>
          </w:tcPr>
          <w:p w14:paraId="4ECA54C9" w14:textId="77777777" w:rsidR="002A13AA" w:rsidRPr="002A13AA" w:rsidRDefault="002A13AA" w:rsidP="00125EFF">
            <w:pPr>
              <w:spacing w:line="240" w:lineRule="auto"/>
              <w:jc w:val="center"/>
              <w:outlineLvl w:val="2"/>
              <w:rPr>
                <w:sz w:val="20"/>
              </w:rPr>
            </w:pPr>
            <w:r w:rsidRPr="002A13AA">
              <w:rPr>
                <w:sz w:val="20"/>
              </w:rPr>
              <w:t>110</w:t>
            </w:r>
          </w:p>
        </w:tc>
      </w:tr>
    </w:tbl>
    <w:p w14:paraId="5E3BFA91" w14:textId="77777777" w:rsidR="002A13AA" w:rsidRPr="002A13AA" w:rsidRDefault="002A13AA" w:rsidP="00AD3F10">
      <w:pPr>
        <w:spacing w:line="240" w:lineRule="auto"/>
        <w:jc w:val="both"/>
        <w:outlineLvl w:val="2"/>
        <w:rPr>
          <w:rFonts w:cs="Arial"/>
          <w:sz w:val="20"/>
        </w:rPr>
      </w:pPr>
    </w:p>
    <w:p w14:paraId="7366173F" w14:textId="48434E44" w:rsidR="006B6A1C" w:rsidRDefault="002A13AA" w:rsidP="00AD3F10">
      <w:pPr>
        <w:spacing w:line="240" w:lineRule="auto"/>
        <w:rPr>
          <w:rFonts w:cs="Arial"/>
          <w:sz w:val="20"/>
        </w:rPr>
      </w:pPr>
      <w:r w:rsidRPr="002A13AA">
        <w:rPr>
          <w:rFonts w:cs="Arial"/>
          <w:sz w:val="20"/>
        </w:rPr>
        <w:t>Die öffentlich geförderten Schuldner- und Insolvenzberatungsstellen der Freien und Hansestadt Hamburg beraten Ratsuchende, die über ein geringes Einkommen verfügen oder Sozialleistungen beziehen. Eine gesonderte Auswertung in Bezug auf Haushalte wird nicht vorgenommen. Die Auswertung erfolgt quartalsweise</w:t>
      </w:r>
      <w:r w:rsidR="003D1634">
        <w:rPr>
          <w:rFonts w:cs="Arial"/>
          <w:sz w:val="20"/>
        </w:rPr>
        <w:t>.</w:t>
      </w:r>
    </w:p>
    <w:p w14:paraId="388D35A2" w14:textId="77777777" w:rsidR="00041614" w:rsidRDefault="00041614" w:rsidP="00AD3F10">
      <w:pPr>
        <w:spacing w:line="240" w:lineRule="auto"/>
        <w:rPr>
          <w:rFonts w:cs="Arial"/>
          <w:sz w:val="20"/>
        </w:rPr>
      </w:pPr>
    </w:p>
    <w:p w14:paraId="631423B0" w14:textId="02375DCB" w:rsidR="003D1634" w:rsidRPr="003D1634" w:rsidRDefault="003D1634" w:rsidP="00AD3F10">
      <w:pPr>
        <w:spacing w:line="240" w:lineRule="auto"/>
        <w:rPr>
          <w:rFonts w:cs="Arial"/>
          <w:b/>
          <w:sz w:val="20"/>
        </w:rPr>
      </w:pPr>
      <w:r w:rsidRPr="003D1634">
        <w:rPr>
          <w:rFonts w:cs="Arial"/>
          <w:b/>
          <w:sz w:val="20"/>
        </w:rPr>
        <w:t>Beratungsverfahren in den öffentlich geförderten Schuldnerberatungsstellen</w:t>
      </w:r>
    </w:p>
    <w:tbl>
      <w:tblPr>
        <w:tblW w:w="9214" w:type="dxa"/>
        <w:tblInd w:w="-5" w:type="dxa"/>
        <w:tblCellMar>
          <w:left w:w="70" w:type="dxa"/>
          <w:right w:w="70" w:type="dxa"/>
        </w:tblCellMar>
        <w:tblLook w:val="04A0" w:firstRow="1" w:lastRow="0" w:firstColumn="1" w:lastColumn="0" w:noHBand="0" w:noVBand="1"/>
      </w:tblPr>
      <w:tblGrid>
        <w:gridCol w:w="3280"/>
        <w:gridCol w:w="1823"/>
        <w:gridCol w:w="2694"/>
        <w:gridCol w:w="1417"/>
      </w:tblGrid>
      <w:tr w:rsidR="003D1634" w:rsidRPr="003D1634" w14:paraId="5D2ACBAD" w14:textId="77777777" w:rsidTr="00125EFF">
        <w:trPr>
          <w:trHeight w:val="793"/>
        </w:trPr>
        <w:tc>
          <w:tcPr>
            <w:tcW w:w="3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4551DC" w14:textId="1AA7240F" w:rsidR="003D1634" w:rsidRPr="003D1634" w:rsidRDefault="003656D8" w:rsidP="00AD3F10">
            <w:pPr>
              <w:spacing w:line="240" w:lineRule="auto"/>
              <w:jc w:val="both"/>
              <w:rPr>
                <w:rFonts w:cs="Arial"/>
                <w:sz w:val="20"/>
              </w:rPr>
            </w:pPr>
            <w:bookmarkStart w:id="1" w:name="_Hlk145317528"/>
            <w:r>
              <w:rPr>
                <w:rFonts w:cs="Arial"/>
                <w:sz w:val="20"/>
              </w:rPr>
              <w:t>1</w:t>
            </w:r>
            <w:r w:rsidR="003D1634" w:rsidRPr="003D1634">
              <w:rPr>
                <w:rFonts w:cs="Arial"/>
                <w:sz w:val="20"/>
              </w:rPr>
              <w:t>. Quartal 2023</w:t>
            </w:r>
          </w:p>
        </w:tc>
        <w:tc>
          <w:tcPr>
            <w:tcW w:w="1823" w:type="dxa"/>
            <w:tcBorders>
              <w:top w:val="single" w:sz="4" w:space="0" w:color="auto"/>
              <w:left w:val="nil"/>
              <w:bottom w:val="single" w:sz="4" w:space="0" w:color="auto"/>
              <w:right w:val="single" w:sz="4" w:space="0" w:color="auto"/>
            </w:tcBorders>
            <w:shd w:val="clear" w:color="000000" w:fill="F2F2F2"/>
            <w:vAlign w:val="center"/>
            <w:hideMark/>
          </w:tcPr>
          <w:p w14:paraId="1F621AA6" w14:textId="77777777" w:rsidR="003D1634" w:rsidRPr="003D1634" w:rsidRDefault="003D1634" w:rsidP="00125EFF">
            <w:pPr>
              <w:spacing w:line="240" w:lineRule="auto"/>
              <w:rPr>
                <w:rFonts w:cs="Arial"/>
                <w:sz w:val="20"/>
              </w:rPr>
            </w:pPr>
            <w:r w:rsidRPr="003D1634">
              <w:rPr>
                <w:rFonts w:cs="Arial"/>
                <w:sz w:val="20"/>
              </w:rPr>
              <w:t>Zugänge in die Schuldner- und Insolvenzberatung</w:t>
            </w:r>
          </w:p>
        </w:tc>
        <w:tc>
          <w:tcPr>
            <w:tcW w:w="2694" w:type="dxa"/>
            <w:tcBorders>
              <w:top w:val="single" w:sz="4" w:space="0" w:color="auto"/>
              <w:left w:val="nil"/>
              <w:bottom w:val="single" w:sz="4" w:space="0" w:color="auto"/>
              <w:right w:val="single" w:sz="4" w:space="0" w:color="auto"/>
            </w:tcBorders>
            <w:shd w:val="clear" w:color="000000" w:fill="F2F2F2"/>
            <w:vAlign w:val="center"/>
            <w:hideMark/>
          </w:tcPr>
          <w:p w14:paraId="11A50EDA" w14:textId="77777777" w:rsidR="003D1634" w:rsidRPr="003D1634" w:rsidRDefault="003D1634" w:rsidP="00125EFF">
            <w:pPr>
              <w:spacing w:line="240" w:lineRule="auto"/>
              <w:rPr>
                <w:rFonts w:cs="Arial"/>
                <w:sz w:val="20"/>
              </w:rPr>
            </w:pPr>
            <w:r w:rsidRPr="003D1634">
              <w:rPr>
                <w:rFonts w:cs="Arial"/>
                <w:sz w:val="20"/>
              </w:rPr>
              <w:t>Abgeschlossene Verfahren in der Schuldner- und Insolvenzberatung</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4376BAF" w14:textId="77777777" w:rsidR="003D1634" w:rsidRPr="003D1634" w:rsidRDefault="003D1634" w:rsidP="00125EFF">
            <w:pPr>
              <w:spacing w:line="240" w:lineRule="auto"/>
              <w:rPr>
                <w:rFonts w:cs="Arial"/>
                <w:sz w:val="20"/>
              </w:rPr>
            </w:pPr>
            <w:r w:rsidRPr="003D1634">
              <w:rPr>
                <w:rFonts w:cs="Arial"/>
                <w:sz w:val="20"/>
              </w:rPr>
              <w:t>Kurz- und Notfallberatung</w:t>
            </w:r>
          </w:p>
        </w:tc>
      </w:tr>
      <w:tr w:rsidR="003D1634" w:rsidRPr="003D1634" w14:paraId="1FADFA61" w14:textId="77777777" w:rsidTr="00125EFF">
        <w:trPr>
          <w:trHeight w:val="52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4DD4810A" w14:textId="77777777" w:rsidR="003D1634" w:rsidRPr="003D1634" w:rsidRDefault="003D1634" w:rsidP="00AD3F10">
            <w:pPr>
              <w:spacing w:line="240" w:lineRule="auto"/>
              <w:jc w:val="both"/>
              <w:rPr>
                <w:rFonts w:cs="Arial"/>
                <w:sz w:val="20"/>
              </w:rPr>
            </w:pPr>
            <w:r w:rsidRPr="003D1634">
              <w:rPr>
                <w:rFonts w:cs="Arial"/>
                <w:sz w:val="20"/>
              </w:rPr>
              <w:t>afg worknet Schuldnerberatung gGmbH</w:t>
            </w:r>
          </w:p>
        </w:tc>
        <w:tc>
          <w:tcPr>
            <w:tcW w:w="1823" w:type="dxa"/>
            <w:tcBorders>
              <w:top w:val="nil"/>
              <w:left w:val="nil"/>
              <w:bottom w:val="single" w:sz="4" w:space="0" w:color="auto"/>
              <w:right w:val="single" w:sz="4" w:space="0" w:color="auto"/>
            </w:tcBorders>
            <w:shd w:val="clear" w:color="auto" w:fill="auto"/>
            <w:noWrap/>
            <w:vAlign w:val="center"/>
            <w:hideMark/>
          </w:tcPr>
          <w:p w14:paraId="6C674AA0" w14:textId="2EB2592A" w:rsidR="003D1634" w:rsidRPr="003D1634" w:rsidRDefault="003656D8" w:rsidP="00AD3F10">
            <w:pPr>
              <w:spacing w:line="240" w:lineRule="auto"/>
              <w:jc w:val="right"/>
              <w:rPr>
                <w:rFonts w:cs="Arial"/>
                <w:sz w:val="20"/>
              </w:rPr>
            </w:pPr>
            <w:r>
              <w:rPr>
                <w:rFonts w:cs="Arial"/>
                <w:sz w:val="20"/>
              </w:rPr>
              <w:t>131</w:t>
            </w:r>
          </w:p>
        </w:tc>
        <w:tc>
          <w:tcPr>
            <w:tcW w:w="2694" w:type="dxa"/>
            <w:tcBorders>
              <w:top w:val="nil"/>
              <w:left w:val="nil"/>
              <w:bottom w:val="single" w:sz="4" w:space="0" w:color="auto"/>
              <w:right w:val="single" w:sz="4" w:space="0" w:color="auto"/>
            </w:tcBorders>
            <w:shd w:val="clear" w:color="auto" w:fill="auto"/>
            <w:noWrap/>
            <w:vAlign w:val="center"/>
            <w:hideMark/>
          </w:tcPr>
          <w:p w14:paraId="51A6CED7" w14:textId="0271FE87" w:rsidR="003D1634" w:rsidRPr="003D1634" w:rsidRDefault="003D1634" w:rsidP="00AD3F10">
            <w:pPr>
              <w:spacing w:line="240" w:lineRule="auto"/>
              <w:jc w:val="right"/>
              <w:rPr>
                <w:rFonts w:cs="Arial"/>
                <w:sz w:val="20"/>
              </w:rPr>
            </w:pPr>
            <w:r w:rsidRPr="003D1634">
              <w:rPr>
                <w:rFonts w:cs="Arial"/>
                <w:sz w:val="20"/>
              </w:rPr>
              <w:t>1</w:t>
            </w:r>
            <w:r w:rsidR="003656D8">
              <w:rPr>
                <w:rFonts w:cs="Arial"/>
                <w:sz w:val="20"/>
              </w:rPr>
              <w:t>15</w:t>
            </w:r>
          </w:p>
        </w:tc>
        <w:tc>
          <w:tcPr>
            <w:tcW w:w="1417" w:type="dxa"/>
            <w:tcBorders>
              <w:top w:val="nil"/>
              <w:left w:val="nil"/>
              <w:bottom w:val="single" w:sz="4" w:space="0" w:color="auto"/>
              <w:right w:val="single" w:sz="4" w:space="0" w:color="auto"/>
            </w:tcBorders>
            <w:shd w:val="clear" w:color="auto" w:fill="auto"/>
            <w:noWrap/>
            <w:vAlign w:val="center"/>
            <w:hideMark/>
          </w:tcPr>
          <w:p w14:paraId="0759EB8B" w14:textId="7FF56289" w:rsidR="003D1634" w:rsidRPr="003D1634" w:rsidRDefault="003D1634" w:rsidP="00AD3F10">
            <w:pPr>
              <w:spacing w:line="240" w:lineRule="auto"/>
              <w:jc w:val="right"/>
              <w:rPr>
                <w:rFonts w:cs="Arial"/>
                <w:sz w:val="20"/>
              </w:rPr>
            </w:pPr>
            <w:r w:rsidRPr="003D1634">
              <w:rPr>
                <w:rFonts w:cs="Arial"/>
                <w:sz w:val="20"/>
              </w:rPr>
              <w:t>7</w:t>
            </w:r>
            <w:r w:rsidR="003656D8">
              <w:rPr>
                <w:rFonts w:cs="Arial"/>
                <w:sz w:val="20"/>
              </w:rPr>
              <w:t>16</w:t>
            </w:r>
          </w:p>
        </w:tc>
      </w:tr>
      <w:tr w:rsidR="003D1634" w:rsidRPr="003D1634" w14:paraId="5CAD564A" w14:textId="77777777" w:rsidTr="00125EFF">
        <w:trPr>
          <w:trHeight w:val="77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06B2EA1" w14:textId="77777777" w:rsidR="003D1634" w:rsidRPr="003D1634" w:rsidRDefault="003D1634" w:rsidP="00AD3F10">
            <w:pPr>
              <w:spacing w:line="240" w:lineRule="auto"/>
              <w:jc w:val="both"/>
              <w:rPr>
                <w:rFonts w:cs="Arial"/>
                <w:sz w:val="20"/>
              </w:rPr>
            </w:pPr>
            <w:r w:rsidRPr="003D1634">
              <w:rPr>
                <w:rFonts w:cs="Arial"/>
                <w:sz w:val="20"/>
              </w:rPr>
              <w:t>DRK Hamburg Gesellschaft für soziale Beratung und Hilfe mbH Schuldner- und Insolvenzberatung</w:t>
            </w:r>
          </w:p>
        </w:tc>
        <w:tc>
          <w:tcPr>
            <w:tcW w:w="1823" w:type="dxa"/>
            <w:tcBorders>
              <w:top w:val="nil"/>
              <w:left w:val="nil"/>
              <w:bottom w:val="single" w:sz="4" w:space="0" w:color="auto"/>
              <w:right w:val="single" w:sz="4" w:space="0" w:color="auto"/>
            </w:tcBorders>
            <w:shd w:val="clear" w:color="auto" w:fill="auto"/>
            <w:noWrap/>
            <w:vAlign w:val="center"/>
            <w:hideMark/>
          </w:tcPr>
          <w:p w14:paraId="5AE8DD0F" w14:textId="6600FB28" w:rsidR="003D1634" w:rsidRPr="003D1634" w:rsidRDefault="003D1634" w:rsidP="00AD3F10">
            <w:pPr>
              <w:spacing w:line="240" w:lineRule="auto"/>
              <w:jc w:val="right"/>
              <w:rPr>
                <w:rFonts w:cs="Arial"/>
                <w:sz w:val="20"/>
              </w:rPr>
            </w:pPr>
            <w:r w:rsidRPr="003D1634">
              <w:rPr>
                <w:rFonts w:cs="Arial"/>
                <w:sz w:val="20"/>
              </w:rPr>
              <w:t>1</w:t>
            </w:r>
            <w:r w:rsidR="003656D8">
              <w:rPr>
                <w:rFonts w:cs="Arial"/>
                <w:sz w:val="20"/>
              </w:rPr>
              <w:t>19</w:t>
            </w:r>
          </w:p>
        </w:tc>
        <w:tc>
          <w:tcPr>
            <w:tcW w:w="2694" w:type="dxa"/>
            <w:tcBorders>
              <w:top w:val="nil"/>
              <w:left w:val="nil"/>
              <w:bottom w:val="single" w:sz="4" w:space="0" w:color="auto"/>
              <w:right w:val="single" w:sz="4" w:space="0" w:color="auto"/>
            </w:tcBorders>
            <w:shd w:val="clear" w:color="auto" w:fill="auto"/>
            <w:noWrap/>
            <w:vAlign w:val="center"/>
            <w:hideMark/>
          </w:tcPr>
          <w:p w14:paraId="32756AFB" w14:textId="2ACC831D" w:rsidR="003D1634" w:rsidRPr="003D1634" w:rsidRDefault="003656D8" w:rsidP="00AD3F10">
            <w:pPr>
              <w:spacing w:line="240" w:lineRule="auto"/>
              <w:jc w:val="right"/>
              <w:rPr>
                <w:rFonts w:cs="Arial"/>
                <w:sz w:val="20"/>
              </w:rPr>
            </w:pPr>
            <w:r>
              <w:rPr>
                <w:rFonts w:cs="Arial"/>
                <w:sz w:val="20"/>
              </w:rPr>
              <w:t>114</w:t>
            </w:r>
          </w:p>
        </w:tc>
        <w:tc>
          <w:tcPr>
            <w:tcW w:w="1417" w:type="dxa"/>
            <w:tcBorders>
              <w:top w:val="nil"/>
              <w:left w:val="nil"/>
              <w:bottom w:val="single" w:sz="4" w:space="0" w:color="auto"/>
              <w:right w:val="single" w:sz="4" w:space="0" w:color="auto"/>
            </w:tcBorders>
            <w:shd w:val="clear" w:color="auto" w:fill="auto"/>
            <w:noWrap/>
            <w:vAlign w:val="center"/>
            <w:hideMark/>
          </w:tcPr>
          <w:p w14:paraId="5D95F38D" w14:textId="38587922" w:rsidR="003D1634" w:rsidRPr="003D1634" w:rsidRDefault="003656D8" w:rsidP="00AD3F10">
            <w:pPr>
              <w:spacing w:line="240" w:lineRule="auto"/>
              <w:jc w:val="right"/>
              <w:rPr>
                <w:rFonts w:cs="Arial"/>
                <w:sz w:val="20"/>
              </w:rPr>
            </w:pPr>
            <w:r>
              <w:rPr>
                <w:rFonts w:cs="Arial"/>
                <w:sz w:val="20"/>
              </w:rPr>
              <w:t>675</w:t>
            </w:r>
          </w:p>
        </w:tc>
      </w:tr>
      <w:tr w:rsidR="003D1634" w:rsidRPr="003D1634" w14:paraId="3ABB1AA4"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0D44E92" w14:textId="77777777" w:rsidR="003D1634" w:rsidRPr="003D1634" w:rsidRDefault="003D1634" w:rsidP="00AD3F10">
            <w:pPr>
              <w:spacing w:line="240" w:lineRule="auto"/>
              <w:jc w:val="both"/>
              <w:rPr>
                <w:rFonts w:cs="Arial"/>
                <w:sz w:val="20"/>
              </w:rPr>
            </w:pPr>
            <w:r w:rsidRPr="003D1634">
              <w:rPr>
                <w:rFonts w:cs="Arial"/>
                <w:sz w:val="20"/>
              </w:rPr>
              <w:t>hamburger arbeit GmbH</w:t>
            </w:r>
          </w:p>
        </w:tc>
        <w:tc>
          <w:tcPr>
            <w:tcW w:w="1823" w:type="dxa"/>
            <w:tcBorders>
              <w:top w:val="nil"/>
              <w:left w:val="nil"/>
              <w:bottom w:val="single" w:sz="4" w:space="0" w:color="auto"/>
              <w:right w:val="single" w:sz="4" w:space="0" w:color="auto"/>
            </w:tcBorders>
            <w:shd w:val="clear" w:color="auto" w:fill="auto"/>
            <w:noWrap/>
            <w:vAlign w:val="center"/>
            <w:hideMark/>
          </w:tcPr>
          <w:p w14:paraId="6BD6E9EA" w14:textId="273ECB89" w:rsidR="003D1634" w:rsidRPr="003D1634" w:rsidRDefault="003D1634" w:rsidP="00AD3F10">
            <w:pPr>
              <w:spacing w:line="240" w:lineRule="auto"/>
              <w:jc w:val="right"/>
              <w:rPr>
                <w:rFonts w:cs="Arial"/>
                <w:sz w:val="20"/>
              </w:rPr>
            </w:pPr>
            <w:r w:rsidRPr="003D1634">
              <w:rPr>
                <w:rFonts w:cs="Arial"/>
                <w:sz w:val="20"/>
              </w:rPr>
              <w:t>1</w:t>
            </w:r>
            <w:r w:rsidR="003656D8">
              <w:rPr>
                <w:rFonts w:cs="Arial"/>
                <w:sz w:val="20"/>
              </w:rPr>
              <w:t>81</w:t>
            </w:r>
          </w:p>
        </w:tc>
        <w:tc>
          <w:tcPr>
            <w:tcW w:w="2694" w:type="dxa"/>
            <w:tcBorders>
              <w:top w:val="nil"/>
              <w:left w:val="nil"/>
              <w:bottom w:val="single" w:sz="4" w:space="0" w:color="auto"/>
              <w:right w:val="single" w:sz="4" w:space="0" w:color="auto"/>
            </w:tcBorders>
            <w:shd w:val="clear" w:color="auto" w:fill="auto"/>
            <w:noWrap/>
            <w:vAlign w:val="center"/>
            <w:hideMark/>
          </w:tcPr>
          <w:p w14:paraId="2ED89CAA" w14:textId="0495F1CE" w:rsidR="003D1634" w:rsidRPr="003D1634" w:rsidRDefault="003656D8" w:rsidP="00AD3F10">
            <w:pPr>
              <w:spacing w:line="240" w:lineRule="auto"/>
              <w:jc w:val="right"/>
              <w:rPr>
                <w:rFonts w:cs="Arial"/>
                <w:sz w:val="20"/>
              </w:rPr>
            </w:pPr>
            <w:r>
              <w:rPr>
                <w:rFonts w:cs="Arial"/>
                <w:sz w:val="20"/>
              </w:rPr>
              <w:t>131</w:t>
            </w:r>
          </w:p>
        </w:tc>
        <w:tc>
          <w:tcPr>
            <w:tcW w:w="1417" w:type="dxa"/>
            <w:tcBorders>
              <w:top w:val="nil"/>
              <w:left w:val="nil"/>
              <w:bottom w:val="single" w:sz="4" w:space="0" w:color="auto"/>
              <w:right w:val="single" w:sz="4" w:space="0" w:color="auto"/>
            </w:tcBorders>
            <w:shd w:val="clear" w:color="auto" w:fill="auto"/>
            <w:noWrap/>
            <w:vAlign w:val="center"/>
            <w:hideMark/>
          </w:tcPr>
          <w:p w14:paraId="46FEDEEE" w14:textId="65CCC352" w:rsidR="003D1634" w:rsidRPr="003D1634" w:rsidRDefault="003656D8" w:rsidP="00AD3F10">
            <w:pPr>
              <w:spacing w:line="240" w:lineRule="auto"/>
              <w:jc w:val="right"/>
              <w:rPr>
                <w:rFonts w:cs="Arial"/>
                <w:sz w:val="20"/>
              </w:rPr>
            </w:pPr>
            <w:r>
              <w:rPr>
                <w:rFonts w:cs="Arial"/>
                <w:sz w:val="20"/>
              </w:rPr>
              <w:t>273</w:t>
            </w:r>
          </w:p>
        </w:tc>
      </w:tr>
      <w:tr w:rsidR="003D1634" w:rsidRPr="003D1634" w14:paraId="618C0AFE"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6F9D8AD" w14:textId="77777777" w:rsidR="003D1634" w:rsidRPr="003D1634" w:rsidRDefault="003D1634" w:rsidP="00AD3F10">
            <w:pPr>
              <w:spacing w:line="240" w:lineRule="auto"/>
              <w:jc w:val="both"/>
              <w:rPr>
                <w:rFonts w:cs="Arial"/>
                <w:sz w:val="20"/>
              </w:rPr>
            </w:pPr>
            <w:r w:rsidRPr="003D1634">
              <w:rPr>
                <w:rFonts w:cs="Arial"/>
                <w:sz w:val="20"/>
              </w:rPr>
              <w:t>Diakonisches Werk Hamburg</w:t>
            </w:r>
          </w:p>
        </w:tc>
        <w:tc>
          <w:tcPr>
            <w:tcW w:w="1823" w:type="dxa"/>
            <w:tcBorders>
              <w:top w:val="nil"/>
              <w:left w:val="nil"/>
              <w:bottom w:val="single" w:sz="4" w:space="0" w:color="auto"/>
              <w:right w:val="single" w:sz="4" w:space="0" w:color="auto"/>
            </w:tcBorders>
            <w:shd w:val="clear" w:color="auto" w:fill="auto"/>
            <w:noWrap/>
            <w:vAlign w:val="center"/>
            <w:hideMark/>
          </w:tcPr>
          <w:p w14:paraId="29FA292F" w14:textId="0A6CA2A4" w:rsidR="003D1634" w:rsidRPr="003D1634" w:rsidRDefault="003D1634" w:rsidP="00AD3F10">
            <w:pPr>
              <w:spacing w:line="240" w:lineRule="auto"/>
              <w:jc w:val="right"/>
              <w:rPr>
                <w:rFonts w:cs="Arial"/>
                <w:sz w:val="20"/>
              </w:rPr>
            </w:pPr>
            <w:r w:rsidRPr="003D1634">
              <w:rPr>
                <w:rFonts w:cs="Arial"/>
                <w:sz w:val="20"/>
              </w:rPr>
              <w:t>18</w:t>
            </w:r>
            <w:r w:rsidR="003656D8">
              <w:rPr>
                <w:rFonts w:cs="Arial"/>
                <w:sz w:val="20"/>
              </w:rPr>
              <w:t>9</w:t>
            </w:r>
          </w:p>
        </w:tc>
        <w:tc>
          <w:tcPr>
            <w:tcW w:w="2694" w:type="dxa"/>
            <w:tcBorders>
              <w:top w:val="nil"/>
              <w:left w:val="nil"/>
              <w:bottom w:val="single" w:sz="4" w:space="0" w:color="auto"/>
              <w:right w:val="single" w:sz="4" w:space="0" w:color="auto"/>
            </w:tcBorders>
            <w:shd w:val="clear" w:color="auto" w:fill="auto"/>
            <w:noWrap/>
            <w:vAlign w:val="center"/>
            <w:hideMark/>
          </w:tcPr>
          <w:p w14:paraId="7D0ABCB9" w14:textId="5CD0968F" w:rsidR="003D1634" w:rsidRPr="003D1634" w:rsidRDefault="003D1634" w:rsidP="00AD3F10">
            <w:pPr>
              <w:spacing w:line="240" w:lineRule="auto"/>
              <w:jc w:val="right"/>
              <w:rPr>
                <w:rFonts w:cs="Arial"/>
                <w:sz w:val="20"/>
              </w:rPr>
            </w:pPr>
            <w:r w:rsidRPr="003D1634">
              <w:rPr>
                <w:rFonts w:cs="Arial"/>
                <w:sz w:val="20"/>
              </w:rPr>
              <w:t>1</w:t>
            </w:r>
            <w:r w:rsidR="003656D8">
              <w:rPr>
                <w:rFonts w:cs="Arial"/>
                <w:sz w:val="20"/>
              </w:rPr>
              <w:t>50</w:t>
            </w:r>
          </w:p>
        </w:tc>
        <w:tc>
          <w:tcPr>
            <w:tcW w:w="1417" w:type="dxa"/>
            <w:tcBorders>
              <w:top w:val="nil"/>
              <w:left w:val="nil"/>
              <w:bottom w:val="single" w:sz="4" w:space="0" w:color="auto"/>
              <w:right w:val="single" w:sz="4" w:space="0" w:color="auto"/>
            </w:tcBorders>
            <w:shd w:val="clear" w:color="auto" w:fill="auto"/>
            <w:noWrap/>
            <w:vAlign w:val="center"/>
            <w:hideMark/>
          </w:tcPr>
          <w:p w14:paraId="1FF6FE71" w14:textId="6453798D" w:rsidR="003D1634" w:rsidRPr="003D1634" w:rsidRDefault="003656D8" w:rsidP="00AD3F10">
            <w:pPr>
              <w:spacing w:line="240" w:lineRule="auto"/>
              <w:jc w:val="right"/>
              <w:rPr>
                <w:rFonts w:cs="Arial"/>
                <w:sz w:val="20"/>
              </w:rPr>
            </w:pPr>
            <w:r>
              <w:rPr>
                <w:rFonts w:cs="Arial"/>
                <w:sz w:val="20"/>
              </w:rPr>
              <w:t>573</w:t>
            </w:r>
          </w:p>
        </w:tc>
      </w:tr>
      <w:tr w:rsidR="003D1634" w:rsidRPr="003D1634" w14:paraId="55279706"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48E9939" w14:textId="77777777" w:rsidR="003D1634" w:rsidRPr="003D1634" w:rsidRDefault="003D1634" w:rsidP="00AD3F10">
            <w:pPr>
              <w:spacing w:line="240" w:lineRule="auto"/>
              <w:jc w:val="both"/>
              <w:rPr>
                <w:rFonts w:cs="Arial"/>
                <w:sz w:val="20"/>
              </w:rPr>
            </w:pPr>
            <w:r w:rsidRPr="003D1634">
              <w:rPr>
                <w:rFonts w:cs="Arial"/>
                <w:sz w:val="20"/>
              </w:rPr>
              <w:t xml:space="preserve">Verbraucherzentrale Hamburg e.V. </w:t>
            </w:r>
          </w:p>
        </w:tc>
        <w:tc>
          <w:tcPr>
            <w:tcW w:w="1823" w:type="dxa"/>
            <w:tcBorders>
              <w:top w:val="nil"/>
              <w:left w:val="nil"/>
              <w:bottom w:val="single" w:sz="4" w:space="0" w:color="auto"/>
              <w:right w:val="single" w:sz="4" w:space="0" w:color="auto"/>
            </w:tcBorders>
            <w:shd w:val="clear" w:color="auto" w:fill="auto"/>
            <w:noWrap/>
            <w:vAlign w:val="center"/>
            <w:hideMark/>
          </w:tcPr>
          <w:p w14:paraId="7D990F92" w14:textId="21B6C738" w:rsidR="003D1634" w:rsidRPr="003D1634" w:rsidRDefault="003D1634" w:rsidP="00AD3F10">
            <w:pPr>
              <w:spacing w:line="240" w:lineRule="auto"/>
              <w:jc w:val="right"/>
              <w:rPr>
                <w:rFonts w:cs="Arial"/>
                <w:sz w:val="20"/>
              </w:rPr>
            </w:pPr>
            <w:r w:rsidRPr="003D1634">
              <w:rPr>
                <w:rFonts w:cs="Arial"/>
                <w:sz w:val="20"/>
              </w:rPr>
              <w:t>1</w:t>
            </w:r>
            <w:r w:rsidR="003656D8">
              <w:rPr>
                <w:rFonts w:cs="Arial"/>
                <w:sz w:val="20"/>
              </w:rPr>
              <w:t>27</w:t>
            </w:r>
          </w:p>
        </w:tc>
        <w:tc>
          <w:tcPr>
            <w:tcW w:w="2694" w:type="dxa"/>
            <w:tcBorders>
              <w:top w:val="nil"/>
              <w:left w:val="nil"/>
              <w:bottom w:val="single" w:sz="4" w:space="0" w:color="auto"/>
              <w:right w:val="single" w:sz="4" w:space="0" w:color="auto"/>
            </w:tcBorders>
            <w:shd w:val="clear" w:color="auto" w:fill="auto"/>
            <w:noWrap/>
            <w:vAlign w:val="center"/>
            <w:hideMark/>
          </w:tcPr>
          <w:p w14:paraId="73F75B82" w14:textId="76C7B161" w:rsidR="003D1634" w:rsidRPr="003D1634" w:rsidRDefault="003656D8" w:rsidP="00AD3F10">
            <w:pPr>
              <w:spacing w:line="240" w:lineRule="auto"/>
              <w:jc w:val="right"/>
              <w:rPr>
                <w:rFonts w:cs="Arial"/>
                <w:sz w:val="20"/>
              </w:rPr>
            </w:pPr>
            <w:r>
              <w:rPr>
                <w:rFonts w:cs="Arial"/>
                <w:sz w:val="20"/>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37E73A6" w14:textId="5581FCDB" w:rsidR="003D1634" w:rsidRPr="003D1634" w:rsidRDefault="003656D8" w:rsidP="00AD3F10">
            <w:pPr>
              <w:spacing w:line="240" w:lineRule="auto"/>
              <w:jc w:val="right"/>
              <w:rPr>
                <w:rFonts w:cs="Arial"/>
                <w:sz w:val="20"/>
              </w:rPr>
            </w:pPr>
            <w:r>
              <w:rPr>
                <w:rFonts w:cs="Arial"/>
                <w:sz w:val="20"/>
              </w:rPr>
              <w:t>715</w:t>
            </w:r>
          </w:p>
        </w:tc>
      </w:tr>
      <w:tr w:rsidR="003D1634" w:rsidRPr="003D1634" w14:paraId="59BDAC17"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6AD9946C" w14:textId="77777777" w:rsidR="003D1634" w:rsidRPr="003D1634" w:rsidRDefault="003D1634" w:rsidP="00AD3F10">
            <w:pPr>
              <w:spacing w:line="240" w:lineRule="auto"/>
              <w:jc w:val="both"/>
              <w:rPr>
                <w:rFonts w:cs="Arial"/>
                <w:sz w:val="20"/>
              </w:rPr>
            </w:pPr>
            <w:r w:rsidRPr="003D1634">
              <w:rPr>
                <w:rFonts w:cs="Arial"/>
                <w:sz w:val="20"/>
              </w:rPr>
              <w:t>Schuldenhilfe Sofort e.V.</w:t>
            </w:r>
          </w:p>
        </w:tc>
        <w:tc>
          <w:tcPr>
            <w:tcW w:w="1823" w:type="dxa"/>
            <w:tcBorders>
              <w:top w:val="nil"/>
              <w:left w:val="nil"/>
              <w:bottom w:val="single" w:sz="4" w:space="0" w:color="auto"/>
              <w:right w:val="single" w:sz="4" w:space="0" w:color="auto"/>
            </w:tcBorders>
            <w:shd w:val="clear" w:color="auto" w:fill="auto"/>
            <w:noWrap/>
            <w:vAlign w:val="center"/>
            <w:hideMark/>
          </w:tcPr>
          <w:p w14:paraId="381FEBDF" w14:textId="4559A3B3" w:rsidR="003D1634" w:rsidRPr="003D1634" w:rsidRDefault="003656D8" w:rsidP="00AD3F10">
            <w:pPr>
              <w:spacing w:line="240" w:lineRule="auto"/>
              <w:jc w:val="right"/>
              <w:rPr>
                <w:rFonts w:cs="Arial"/>
                <w:sz w:val="20"/>
              </w:rPr>
            </w:pPr>
            <w:r>
              <w:rPr>
                <w:rFonts w:cs="Arial"/>
                <w:sz w:val="20"/>
              </w:rPr>
              <w:t>93</w:t>
            </w:r>
          </w:p>
        </w:tc>
        <w:tc>
          <w:tcPr>
            <w:tcW w:w="2694" w:type="dxa"/>
            <w:tcBorders>
              <w:top w:val="nil"/>
              <w:left w:val="nil"/>
              <w:bottom w:val="single" w:sz="4" w:space="0" w:color="auto"/>
              <w:right w:val="single" w:sz="4" w:space="0" w:color="auto"/>
            </w:tcBorders>
            <w:shd w:val="clear" w:color="auto" w:fill="auto"/>
            <w:noWrap/>
            <w:vAlign w:val="center"/>
            <w:hideMark/>
          </w:tcPr>
          <w:p w14:paraId="3BA88E92" w14:textId="49A681E7" w:rsidR="003D1634" w:rsidRPr="003D1634" w:rsidRDefault="003D1634" w:rsidP="00AD3F10">
            <w:pPr>
              <w:spacing w:line="240" w:lineRule="auto"/>
              <w:jc w:val="right"/>
              <w:rPr>
                <w:rFonts w:cs="Arial"/>
                <w:sz w:val="20"/>
              </w:rPr>
            </w:pPr>
            <w:r w:rsidRPr="003D1634">
              <w:rPr>
                <w:rFonts w:cs="Arial"/>
                <w:sz w:val="20"/>
              </w:rPr>
              <w:t>5</w:t>
            </w:r>
            <w:r w:rsidR="003656D8">
              <w:rPr>
                <w:rFonts w:cs="Arial"/>
                <w:sz w:val="20"/>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725898" w14:textId="7A27F61E" w:rsidR="003D1634" w:rsidRPr="003D1634" w:rsidRDefault="003656D8" w:rsidP="00AD3F10">
            <w:pPr>
              <w:spacing w:line="240" w:lineRule="auto"/>
              <w:jc w:val="right"/>
              <w:rPr>
                <w:rFonts w:cs="Arial"/>
                <w:sz w:val="20"/>
              </w:rPr>
            </w:pPr>
            <w:r>
              <w:rPr>
                <w:rFonts w:cs="Arial"/>
                <w:sz w:val="20"/>
              </w:rPr>
              <w:t>597</w:t>
            </w:r>
          </w:p>
        </w:tc>
      </w:tr>
      <w:tr w:rsidR="003D1634" w:rsidRPr="003D1634" w14:paraId="5AF20E20" w14:textId="77777777" w:rsidTr="00125EFF">
        <w:trPr>
          <w:trHeight w:val="52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C7FC545" w14:textId="77777777" w:rsidR="003D1634" w:rsidRPr="003D1634" w:rsidRDefault="003D1634" w:rsidP="00AD3F10">
            <w:pPr>
              <w:spacing w:line="240" w:lineRule="auto"/>
              <w:jc w:val="both"/>
              <w:rPr>
                <w:rFonts w:cs="Arial"/>
                <w:sz w:val="20"/>
              </w:rPr>
            </w:pPr>
            <w:r w:rsidRPr="003D1634">
              <w:rPr>
                <w:rFonts w:cs="Arial"/>
                <w:sz w:val="20"/>
              </w:rPr>
              <w:t>AWO AQtivus Servicegesellschaft gGmbH</w:t>
            </w:r>
          </w:p>
        </w:tc>
        <w:tc>
          <w:tcPr>
            <w:tcW w:w="1823" w:type="dxa"/>
            <w:tcBorders>
              <w:top w:val="nil"/>
              <w:left w:val="nil"/>
              <w:bottom w:val="single" w:sz="4" w:space="0" w:color="auto"/>
              <w:right w:val="single" w:sz="4" w:space="0" w:color="auto"/>
            </w:tcBorders>
            <w:shd w:val="clear" w:color="auto" w:fill="auto"/>
            <w:noWrap/>
            <w:vAlign w:val="center"/>
            <w:hideMark/>
          </w:tcPr>
          <w:p w14:paraId="2CBFDCE2" w14:textId="0CC7DAE2" w:rsidR="003D1634" w:rsidRPr="003D1634" w:rsidRDefault="003656D8" w:rsidP="00AD3F10">
            <w:pPr>
              <w:spacing w:line="240" w:lineRule="auto"/>
              <w:jc w:val="right"/>
              <w:rPr>
                <w:rFonts w:cs="Arial"/>
                <w:sz w:val="20"/>
              </w:rPr>
            </w:pPr>
            <w:r>
              <w:rPr>
                <w:rFonts w:cs="Arial"/>
                <w:sz w:val="20"/>
              </w:rPr>
              <w:t>29</w:t>
            </w:r>
          </w:p>
        </w:tc>
        <w:tc>
          <w:tcPr>
            <w:tcW w:w="2694" w:type="dxa"/>
            <w:tcBorders>
              <w:top w:val="nil"/>
              <w:left w:val="nil"/>
              <w:bottom w:val="single" w:sz="4" w:space="0" w:color="auto"/>
              <w:right w:val="single" w:sz="4" w:space="0" w:color="auto"/>
            </w:tcBorders>
            <w:shd w:val="clear" w:color="auto" w:fill="auto"/>
            <w:noWrap/>
            <w:vAlign w:val="center"/>
            <w:hideMark/>
          </w:tcPr>
          <w:p w14:paraId="57898465" w14:textId="23CEF74D" w:rsidR="003D1634" w:rsidRPr="003D1634" w:rsidRDefault="003656D8" w:rsidP="00AD3F10">
            <w:pPr>
              <w:spacing w:line="240" w:lineRule="auto"/>
              <w:jc w:val="right"/>
              <w:rPr>
                <w:rFonts w:cs="Arial"/>
                <w:sz w:val="20"/>
              </w:rPr>
            </w:pPr>
            <w:r>
              <w:rPr>
                <w:rFonts w:cs="Arial"/>
                <w:sz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51A8FCAB" w14:textId="7986A697" w:rsidR="003D1634" w:rsidRPr="003D1634" w:rsidRDefault="003D1634" w:rsidP="00AD3F10">
            <w:pPr>
              <w:spacing w:line="240" w:lineRule="auto"/>
              <w:jc w:val="right"/>
              <w:rPr>
                <w:rFonts w:cs="Arial"/>
                <w:sz w:val="20"/>
              </w:rPr>
            </w:pPr>
            <w:r w:rsidRPr="003D1634">
              <w:rPr>
                <w:rFonts w:cs="Arial"/>
                <w:sz w:val="20"/>
              </w:rPr>
              <w:t>1</w:t>
            </w:r>
            <w:r w:rsidR="003656D8">
              <w:rPr>
                <w:rFonts w:cs="Arial"/>
                <w:sz w:val="20"/>
              </w:rPr>
              <w:t>91</w:t>
            </w:r>
          </w:p>
        </w:tc>
      </w:tr>
      <w:tr w:rsidR="003D1634" w:rsidRPr="003D1634" w14:paraId="228A9E8D" w14:textId="77777777" w:rsidTr="00125EFF">
        <w:trPr>
          <w:trHeight w:val="290"/>
        </w:trPr>
        <w:tc>
          <w:tcPr>
            <w:tcW w:w="3280" w:type="dxa"/>
            <w:tcBorders>
              <w:top w:val="nil"/>
              <w:left w:val="single" w:sz="4" w:space="0" w:color="auto"/>
              <w:bottom w:val="single" w:sz="4" w:space="0" w:color="auto"/>
              <w:right w:val="single" w:sz="4" w:space="0" w:color="auto"/>
            </w:tcBorders>
            <w:shd w:val="clear" w:color="000000" w:fill="F2F2F2"/>
            <w:vAlign w:val="bottom"/>
            <w:hideMark/>
          </w:tcPr>
          <w:p w14:paraId="1314D1F2" w14:textId="77777777" w:rsidR="003D1634" w:rsidRPr="003D1634" w:rsidRDefault="003D1634" w:rsidP="00AD3F10">
            <w:pPr>
              <w:spacing w:line="240" w:lineRule="auto"/>
              <w:jc w:val="both"/>
              <w:rPr>
                <w:rFonts w:cs="Arial"/>
                <w:sz w:val="20"/>
              </w:rPr>
            </w:pPr>
            <w:r w:rsidRPr="003D1634">
              <w:rPr>
                <w:rFonts w:cs="Arial"/>
                <w:sz w:val="20"/>
              </w:rPr>
              <w:t>Summe</w:t>
            </w:r>
          </w:p>
        </w:tc>
        <w:tc>
          <w:tcPr>
            <w:tcW w:w="1823" w:type="dxa"/>
            <w:tcBorders>
              <w:top w:val="nil"/>
              <w:left w:val="nil"/>
              <w:bottom w:val="single" w:sz="4" w:space="0" w:color="auto"/>
              <w:right w:val="single" w:sz="4" w:space="0" w:color="auto"/>
            </w:tcBorders>
            <w:shd w:val="clear" w:color="000000" w:fill="F2F2F2"/>
            <w:noWrap/>
            <w:vAlign w:val="center"/>
            <w:hideMark/>
          </w:tcPr>
          <w:p w14:paraId="20C6EF1B" w14:textId="5C37DE27" w:rsidR="003D1634" w:rsidRPr="003D1634" w:rsidRDefault="003D1634" w:rsidP="00AD3F10">
            <w:pPr>
              <w:spacing w:line="240" w:lineRule="auto"/>
              <w:jc w:val="right"/>
              <w:rPr>
                <w:rFonts w:cs="Arial"/>
                <w:sz w:val="20"/>
              </w:rPr>
            </w:pPr>
            <w:r w:rsidRPr="003D1634">
              <w:rPr>
                <w:rFonts w:cs="Arial"/>
                <w:sz w:val="20"/>
              </w:rPr>
              <w:t>7</w:t>
            </w:r>
            <w:r w:rsidR="003656D8">
              <w:rPr>
                <w:rFonts w:cs="Arial"/>
                <w:sz w:val="20"/>
              </w:rPr>
              <w:t>47</w:t>
            </w:r>
          </w:p>
        </w:tc>
        <w:tc>
          <w:tcPr>
            <w:tcW w:w="2694" w:type="dxa"/>
            <w:tcBorders>
              <w:top w:val="nil"/>
              <w:left w:val="nil"/>
              <w:bottom w:val="single" w:sz="4" w:space="0" w:color="auto"/>
              <w:right w:val="single" w:sz="4" w:space="0" w:color="auto"/>
            </w:tcBorders>
            <w:shd w:val="clear" w:color="000000" w:fill="F2F2F2"/>
            <w:noWrap/>
            <w:vAlign w:val="center"/>
            <w:hideMark/>
          </w:tcPr>
          <w:p w14:paraId="0ACFAF83" w14:textId="0B77F684" w:rsidR="003D1634" w:rsidRPr="003D1634" w:rsidRDefault="003656D8" w:rsidP="00AD3F10">
            <w:pPr>
              <w:spacing w:line="240" w:lineRule="auto"/>
              <w:jc w:val="right"/>
              <w:rPr>
                <w:rFonts w:cs="Arial"/>
                <w:sz w:val="20"/>
              </w:rPr>
            </w:pPr>
            <w:r>
              <w:rPr>
                <w:rFonts w:cs="Arial"/>
                <w:sz w:val="20"/>
              </w:rPr>
              <w:t>610</w:t>
            </w:r>
          </w:p>
        </w:tc>
        <w:tc>
          <w:tcPr>
            <w:tcW w:w="1417" w:type="dxa"/>
            <w:tcBorders>
              <w:top w:val="nil"/>
              <w:left w:val="nil"/>
              <w:bottom w:val="single" w:sz="4" w:space="0" w:color="auto"/>
              <w:right w:val="single" w:sz="4" w:space="0" w:color="auto"/>
            </w:tcBorders>
            <w:shd w:val="clear" w:color="000000" w:fill="F2F2F2"/>
            <w:noWrap/>
            <w:vAlign w:val="center"/>
            <w:hideMark/>
          </w:tcPr>
          <w:p w14:paraId="5C8CD9C1" w14:textId="5A665EAC" w:rsidR="003D1634" w:rsidRPr="003D1634" w:rsidRDefault="003656D8" w:rsidP="00AD3F10">
            <w:pPr>
              <w:spacing w:line="240" w:lineRule="auto"/>
              <w:jc w:val="right"/>
              <w:rPr>
                <w:rFonts w:cs="Arial"/>
                <w:sz w:val="20"/>
              </w:rPr>
            </w:pPr>
            <w:r>
              <w:rPr>
                <w:rFonts w:cs="Arial"/>
                <w:sz w:val="20"/>
              </w:rPr>
              <w:t>2.952</w:t>
            </w:r>
          </w:p>
        </w:tc>
      </w:tr>
    </w:tbl>
    <w:bookmarkEnd w:id="1"/>
    <w:p w14:paraId="6BCA7039" w14:textId="4D24C2CF" w:rsidR="003D1634" w:rsidRDefault="00041614" w:rsidP="00AD3F10">
      <w:pPr>
        <w:tabs>
          <w:tab w:val="left" w:pos="7900"/>
        </w:tabs>
        <w:spacing w:line="240" w:lineRule="auto"/>
        <w:rPr>
          <w:sz w:val="20"/>
        </w:rPr>
      </w:pPr>
      <w:r>
        <w:rPr>
          <w:sz w:val="20"/>
        </w:rPr>
        <w:tab/>
      </w:r>
    </w:p>
    <w:p w14:paraId="165257FE" w14:textId="77777777" w:rsidR="00041614" w:rsidRDefault="00041614" w:rsidP="00AD3F10">
      <w:pPr>
        <w:tabs>
          <w:tab w:val="left" w:pos="7900"/>
        </w:tabs>
        <w:spacing w:line="240" w:lineRule="auto"/>
        <w:rPr>
          <w:sz w:val="20"/>
        </w:rPr>
      </w:pPr>
    </w:p>
    <w:tbl>
      <w:tblPr>
        <w:tblW w:w="9214" w:type="dxa"/>
        <w:tblInd w:w="-5" w:type="dxa"/>
        <w:tblCellMar>
          <w:left w:w="70" w:type="dxa"/>
          <w:right w:w="70" w:type="dxa"/>
        </w:tblCellMar>
        <w:tblLook w:val="04A0" w:firstRow="1" w:lastRow="0" w:firstColumn="1" w:lastColumn="0" w:noHBand="0" w:noVBand="1"/>
      </w:tblPr>
      <w:tblGrid>
        <w:gridCol w:w="3280"/>
        <w:gridCol w:w="1965"/>
        <w:gridCol w:w="2552"/>
        <w:gridCol w:w="1417"/>
      </w:tblGrid>
      <w:tr w:rsidR="00615469" w:rsidRPr="003D1634" w14:paraId="0691BD07" w14:textId="77777777" w:rsidTr="00125EFF">
        <w:trPr>
          <w:trHeight w:val="1000"/>
          <w:tblHeader/>
        </w:trPr>
        <w:tc>
          <w:tcPr>
            <w:tcW w:w="32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1CCB54" w14:textId="77777777" w:rsidR="00615469" w:rsidRPr="003D1634" w:rsidRDefault="00615469" w:rsidP="00AD3F10">
            <w:pPr>
              <w:spacing w:line="240" w:lineRule="auto"/>
              <w:jc w:val="both"/>
              <w:rPr>
                <w:rFonts w:cs="Arial"/>
                <w:sz w:val="20"/>
              </w:rPr>
            </w:pPr>
            <w:r w:rsidRPr="003D1634">
              <w:rPr>
                <w:rFonts w:cs="Arial"/>
                <w:sz w:val="20"/>
              </w:rPr>
              <w:t>2. Quartal 2023</w:t>
            </w:r>
          </w:p>
        </w:tc>
        <w:tc>
          <w:tcPr>
            <w:tcW w:w="1965" w:type="dxa"/>
            <w:tcBorders>
              <w:top w:val="single" w:sz="4" w:space="0" w:color="auto"/>
              <w:left w:val="nil"/>
              <w:bottom w:val="single" w:sz="4" w:space="0" w:color="auto"/>
              <w:right w:val="single" w:sz="4" w:space="0" w:color="auto"/>
            </w:tcBorders>
            <w:shd w:val="clear" w:color="000000" w:fill="F2F2F2"/>
            <w:vAlign w:val="center"/>
            <w:hideMark/>
          </w:tcPr>
          <w:p w14:paraId="74B10AA3" w14:textId="77777777" w:rsidR="00615469" w:rsidRPr="003D1634" w:rsidRDefault="00615469" w:rsidP="00125EFF">
            <w:pPr>
              <w:spacing w:line="240" w:lineRule="auto"/>
              <w:rPr>
                <w:rFonts w:cs="Arial"/>
                <w:sz w:val="20"/>
              </w:rPr>
            </w:pPr>
            <w:r w:rsidRPr="003D1634">
              <w:rPr>
                <w:rFonts w:cs="Arial"/>
                <w:sz w:val="20"/>
              </w:rPr>
              <w:t>Zugänge in die Schuldner- und Insolvenzberatung</w:t>
            </w:r>
          </w:p>
        </w:tc>
        <w:tc>
          <w:tcPr>
            <w:tcW w:w="2552" w:type="dxa"/>
            <w:tcBorders>
              <w:top w:val="single" w:sz="4" w:space="0" w:color="auto"/>
              <w:left w:val="nil"/>
              <w:bottom w:val="single" w:sz="4" w:space="0" w:color="auto"/>
              <w:right w:val="single" w:sz="4" w:space="0" w:color="auto"/>
            </w:tcBorders>
            <w:shd w:val="clear" w:color="000000" w:fill="F2F2F2"/>
            <w:vAlign w:val="center"/>
            <w:hideMark/>
          </w:tcPr>
          <w:p w14:paraId="46F2071A" w14:textId="77777777" w:rsidR="00615469" w:rsidRPr="003D1634" w:rsidRDefault="00615469" w:rsidP="00125EFF">
            <w:pPr>
              <w:spacing w:line="240" w:lineRule="auto"/>
              <w:rPr>
                <w:rFonts w:cs="Arial"/>
                <w:sz w:val="20"/>
              </w:rPr>
            </w:pPr>
            <w:r w:rsidRPr="003D1634">
              <w:rPr>
                <w:rFonts w:cs="Arial"/>
                <w:sz w:val="20"/>
              </w:rPr>
              <w:t>Abgeschlossene Verfahren in der Schuldner- und Insolvenzberatung</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4E073BE6" w14:textId="77777777" w:rsidR="00615469" w:rsidRPr="003D1634" w:rsidRDefault="00615469" w:rsidP="00125EFF">
            <w:pPr>
              <w:spacing w:line="240" w:lineRule="auto"/>
              <w:rPr>
                <w:rFonts w:cs="Arial"/>
                <w:sz w:val="20"/>
              </w:rPr>
            </w:pPr>
            <w:r w:rsidRPr="003D1634">
              <w:rPr>
                <w:rFonts w:cs="Arial"/>
                <w:sz w:val="20"/>
              </w:rPr>
              <w:t>Kurz- und Notfallberatung</w:t>
            </w:r>
          </w:p>
        </w:tc>
      </w:tr>
      <w:tr w:rsidR="00615469" w:rsidRPr="003D1634" w14:paraId="2B417BB8" w14:textId="77777777" w:rsidTr="00125EFF">
        <w:trPr>
          <w:trHeight w:val="52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200D5A2F" w14:textId="77777777" w:rsidR="00615469" w:rsidRPr="003D1634" w:rsidRDefault="00615469" w:rsidP="00AD3F10">
            <w:pPr>
              <w:spacing w:line="240" w:lineRule="auto"/>
              <w:jc w:val="both"/>
              <w:rPr>
                <w:rFonts w:cs="Arial"/>
                <w:sz w:val="20"/>
              </w:rPr>
            </w:pPr>
            <w:r w:rsidRPr="003D1634">
              <w:rPr>
                <w:rFonts w:cs="Arial"/>
                <w:sz w:val="20"/>
              </w:rPr>
              <w:t>afg worknet Schuldnerberatung gGmbH</w:t>
            </w:r>
          </w:p>
        </w:tc>
        <w:tc>
          <w:tcPr>
            <w:tcW w:w="1965" w:type="dxa"/>
            <w:tcBorders>
              <w:top w:val="nil"/>
              <w:left w:val="nil"/>
              <w:bottom w:val="single" w:sz="4" w:space="0" w:color="auto"/>
              <w:right w:val="single" w:sz="4" w:space="0" w:color="auto"/>
            </w:tcBorders>
            <w:shd w:val="clear" w:color="auto" w:fill="auto"/>
            <w:noWrap/>
            <w:vAlign w:val="center"/>
            <w:hideMark/>
          </w:tcPr>
          <w:p w14:paraId="3B499018" w14:textId="77777777" w:rsidR="00615469" w:rsidRPr="003D1634" w:rsidRDefault="00615469" w:rsidP="00125EFF">
            <w:pPr>
              <w:spacing w:line="240" w:lineRule="auto"/>
              <w:ind w:right="358"/>
              <w:jc w:val="right"/>
              <w:rPr>
                <w:rFonts w:cs="Arial"/>
                <w:sz w:val="20"/>
              </w:rPr>
            </w:pPr>
            <w:r w:rsidRPr="003D1634">
              <w:rPr>
                <w:rFonts w:cs="Arial"/>
                <w:sz w:val="20"/>
              </w:rPr>
              <w:t>90</w:t>
            </w:r>
          </w:p>
        </w:tc>
        <w:tc>
          <w:tcPr>
            <w:tcW w:w="2552" w:type="dxa"/>
            <w:tcBorders>
              <w:top w:val="nil"/>
              <w:left w:val="nil"/>
              <w:bottom w:val="single" w:sz="4" w:space="0" w:color="auto"/>
              <w:right w:val="single" w:sz="4" w:space="0" w:color="auto"/>
            </w:tcBorders>
            <w:shd w:val="clear" w:color="auto" w:fill="auto"/>
            <w:noWrap/>
            <w:vAlign w:val="center"/>
            <w:hideMark/>
          </w:tcPr>
          <w:p w14:paraId="1029CC74" w14:textId="77777777" w:rsidR="00615469" w:rsidRPr="003D1634" w:rsidRDefault="00615469" w:rsidP="00125EFF">
            <w:pPr>
              <w:spacing w:line="240" w:lineRule="auto"/>
              <w:ind w:right="358"/>
              <w:jc w:val="right"/>
              <w:rPr>
                <w:rFonts w:cs="Arial"/>
                <w:sz w:val="20"/>
              </w:rPr>
            </w:pPr>
            <w:r w:rsidRPr="003D1634">
              <w:rPr>
                <w:rFonts w:cs="Arial"/>
                <w:sz w:val="20"/>
              </w:rPr>
              <w:t>109</w:t>
            </w:r>
          </w:p>
        </w:tc>
        <w:tc>
          <w:tcPr>
            <w:tcW w:w="1417" w:type="dxa"/>
            <w:tcBorders>
              <w:top w:val="nil"/>
              <w:left w:val="nil"/>
              <w:bottom w:val="single" w:sz="4" w:space="0" w:color="auto"/>
              <w:right w:val="single" w:sz="4" w:space="0" w:color="auto"/>
            </w:tcBorders>
            <w:shd w:val="clear" w:color="auto" w:fill="auto"/>
            <w:noWrap/>
            <w:vAlign w:val="center"/>
            <w:hideMark/>
          </w:tcPr>
          <w:p w14:paraId="2E95288D" w14:textId="77777777" w:rsidR="00615469" w:rsidRPr="003D1634" w:rsidRDefault="00615469" w:rsidP="00125EFF">
            <w:pPr>
              <w:spacing w:line="240" w:lineRule="auto"/>
              <w:ind w:right="358"/>
              <w:jc w:val="right"/>
              <w:rPr>
                <w:rFonts w:cs="Arial"/>
                <w:sz w:val="20"/>
              </w:rPr>
            </w:pPr>
            <w:r w:rsidRPr="003D1634">
              <w:rPr>
                <w:rFonts w:cs="Arial"/>
                <w:sz w:val="20"/>
              </w:rPr>
              <w:t>722</w:t>
            </w:r>
          </w:p>
        </w:tc>
      </w:tr>
      <w:tr w:rsidR="00615469" w:rsidRPr="003D1634" w14:paraId="72FC6DFC" w14:textId="77777777" w:rsidTr="00125EFF">
        <w:trPr>
          <w:trHeight w:val="77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A341B29" w14:textId="77777777" w:rsidR="00615469" w:rsidRPr="003D1634" w:rsidRDefault="00615469" w:rsidP="00AD3F10">
            <w:pPr>
              <w:spacing w:line="240" w:lineRule="auto"/>
              <w:jc w:val="both"/>
              <w:rPr>
                <w:rFonts w:cs="Arial"/>
                <w:sz w:val="20"/>
              </w:rPr>
            </w:pPr>
            <w:r w:rsidRPr="003D1634">
              <w:rPr>
                <w:rFonts w:cs="Arial"/>
                <w:sz w:val="20"/>
              </w:rPr>
              <w:t>DRK Hamburg Gesellschaft für soziale Beratung und Hilfe mbH Schuldner- und Insolvenzberatung</w:t>
            </w:r>
          </w:p>
        </w:tc>
        <w:tc>
          <w:tcPr>
            <w:tcW w:w="1965" w:type="dxa"/>
            <w:tcBorders>
              <w:top w:val="nil"/>
              <w:left w:val="nil"/>
              <w:bottom w:val="single" w:sz="4" w:space="0" w:color="auto"/>
              <w:right w:val="single" w:sz="4" w:space="0" w:color="auto"/>
            </w:tcBorders>
            <w:shd w:val="clear" w:color="auto" w:fill="auto"/>
            <w:noWrap/>
            <w:vAlign w:val="center"/>
            <w:hideMark/>
          </w:tcPr>
          <w:p w14:paraId="0C02BB28" w14:textId="77777777" w:rsidR="00615469" w:rsidRPr="003D1634" w:rsidRDefault="00615469" w:rsidP="00125EFF">
            <w:pPr>
              <w:spacing w:line="240" w:lineRule="auto"/>
              <w:ind w:right="358"/>
              <w:jc w:val="right"/>
              <w:rPr>
                <w:rFonts w:cs="Arial"/>
                <w:sz w:val="20"/>
              </w:rPr>
            </w:pPr>
            <w:r w:rsidRPr="003D1634">
              <w:rPr>
                <w:rFonts w:cs="Arial"/>
                <w:sz w:val="20"/>
              </w:rPr>
              <w:t>131</w:t>
            </w:r>
          </w:p>
        </w:tc>
        <w:tc>
          <w:tcPr>
            <w:tcW w:w="2552" w:type="dxa"/>
            <w:tcBorders>
              <w:top w:val="nil"/>
              <w:left w:val="nil"/>
              <w:bottom w:val="single" w:sz="4" w:space="0" w:color="auto"/>
              <w:right w:val="single" w:sz="4" w:space="0" w:color="auto"/>
            </w:tcBorders>
            <w:shd w:val="clear" w:color="auto" w:fill="auto"/>
            <w:noWrap/>
            <w:vAlign w:val="center"/>
            <w:hideMark/>
          </w:tcPr>
          <w:p w14:paraId="5FD2970A" w14:textId="77777777" w:rsidR="00615469" w:rsidRPr="003D1634" w:rsidRDefault="00615469" w:rsidP="00125EFF">
            <w:pPr>
              <w:spacing w:line="240" w:lineRule="auto"/>
              <w:ind w:right="358"/>
              <w:jc w:val="right"/>
              <w:rPr>
                <w:rFonts w:cs="Arial"/>
                <w:sz w:val="20"/>
              </w:rPr>
            </w:pPr>
            <w:r w:rsidRPr="003D1634">
              <w:rPr>
                <w:rFonts w:cs="Arial"/>
                <w:sz w:val="20"/>
              </w:rPr>
              <w:t>94</w:t>
            </w:r>
          </w:p>
        </w:tc>
        <w:tc>
          <w:tcPr>
            <w:tcW w:w="1417" w:type="dxa"/>
            <w:tcBorders>
              <w:top w:val="nil"/>
              <w:left w:val="nil"/>
              <w:bottom w:val="single" w:sz="4" w:space="0" w:color="auto"/>
              <w:right w:val="single" w:sz="4" w:space="0" w:color="auto"/>
            </w:tcBorders>
            <w:shd w:val="clear" w:color="auto" w:fill="auto"/>
            <w:noWrap/>
            <w:vAlign w:val="center"/>
            <w:hideMark/>
          </w:tcPr>
          <w:p w14:paraId="2CF94C9A" w14:textId="77777777" w:rsidR="00615469" w:rsidRPr="003D1634" w:rsidRDefault="00615469" w:rsidP="00125EFF">
            <w:pPr>
              <w:spacing w:line="240" w:lineRule="auto"/>
              <w:ind w:right="358"/>
              <w:jc w:val="right"/>
              <w:rPr>
                <w:rFonts w:cs="Arial"/>
                <w:sz w:val="20"/>
              </w:rPr>
            </w:pPr>
            <w:r w:rsidRPr="003D1634">
              <w:rPr>
                <w:rFonts w:cs="Arial"/>
                <w:sz w:val="20"/>
              </w:rPr>
              <w:t>570</w:t>
            </w:r>
          </w:p>
        </w:tc>
      </w:tr>
      <w:tr w:rsidR="00615469" w:rsidRPr="003D1634" w14:paraId="0D1439BF"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91445AC" w14:textId="77777777" w:rsidR="00615469" w:rsidRPr="003D1634" w:rsidRDefault="00615469" w:rsidP="00AD3F10">
            <w:pPr>
              <w:spacing w:line="240" w:lineRule="auto"/>
              <w:jc w:val="both"/>
              <w:rPr>
                <w:rFonts w:cs="Arial"/>
                <w:sz w:val="20"/>
              </w:rPr>
            </w:pPr>
            <w:r w:rsidRPr="003D1634">
              <w:rPr>
                <w:rFonts w:cs="Arial"/>
                <w:sz w:val="20"/>
              </w:rPr>
              <w:t>hamburger arbeit GmbH</w:t>
            </w:r>
          </w:p>
        </w:tc>
        <w:tc>
          <w:tcPr>
            <w:tcW w:w="1965" w:type="dxa"/>
            <w:tcBorders>
              <w:top w:val="nil"/>
              <w:left w:val="nil"/>
              <w:bottom w:val="single" w:sz="4" w:space="0" w:color="auto"/>
              <w:right w:val="single" w:sz="4" w:space="0" w:color="auto"/>
            </w:tcBorders>
            <w:shd w:val="clear" w:color="auto" w:fill="auto"/>
            <w:noWrap/>
            <w:vAlign w:val="center"/>
            <w:hideMark/>
          </w:tcPr>
          <w:p w14:paraId="79C1AB53" w14:textId="77777777" w:rsidR="00615469" w:rsidRPr="003D1634" w:rsidRDefault="00615469" w:rsidP="00125EFF">
            <w:pPr>
              <w:spacing w:line="240" w:lineRule="auto"/>
              <w:ind w:right="358"/>
              <w:jc w:val="right"/>
              <w:rPr>
                <w:rFonts w:cs="Arial"/>
                <w:sz w:val="20"/>
              </w:rPr>
            </w:pPr>
            <w:r w:rsidRPr="003D1634">
              <w:rPr>
                <w:rFonts w:cs="Arial"/>
                <w:sz w:val="20"/>
              </w:rPr>
              <w:t>133</w:t>
            </w:r>
          </w:p>
        </w:tc>
        <w:tc>
          <w:tcPr>
            <w:tcW w:w="2552" w:type="dxa"/>
            <w:tcBorders>
              <w:top w:val="nil"/>
              <w:left w:val="nil"/>
              <w:bottom w:val="single" w:sz="4" w:space="0" w:color="auto"/>
              <w:right w:val="single" w:sz="4" w:space="0" w:color="auto"/>
            </w:tcBorders>
            <w:shd w:val="clear" w:color="auto" w:fill="auto"/>
            <w:noWrap/>
            <w:vAlign w:val="center"/>
            <w:hideMark/>
          </w:tcPr>
          <w:p w14:paraId="15D6992C" w14:textId="77777777" w:rsidR="00615469" w:rsidRPr="003D1634" w:rsidRDefault="00615469" w:rsidP="00125EFF">
            <w:pPr>
              <w:spacing w:line="240" w:lineRule="auto"/>
              <w:ind w:right="358"/>
              <w:jc w:val="right"/>
              <w:rPr>
                <w:rFonts w:cs="Arial"/>
                <w:sz w:val="20"/>
              </w:rPr>
            </w:pPr>
            <w:r w:rsidRPr="003D1634">
              <w:rPr>
                <w:rFonts w:cs="Arial"/>
                <w:sz w:val="20"/>
              </w:rPr>
              <w:t>116</w:t>
            </w:r>
          </w:p>
        </w:tc>
        <w:tc>
          <w:tcPr>
            <w:tcW w:w="1417" w:type="dxa"/>
            <w:tcBorders>
              <w:top w:val="nil"/>
              <w:left w:val="nil"/>
              <w:bottom w:val="single" w:sz="4" w:space="0" w:color="auto"/>
              <w:right w:val="single" w:sz="4" w:space="0" w:color="auto"/>
            </w:tcBorders>
            <w:shd w:val="clear" w:color="auto" w:fill="auto"/>
            <w:noWrap/>
            <w:vAlign w:val="center"/>
            <w:hideMark/>
          </w:tcPr>
          <w:p w14:paraId="64BEF6F0" w14:textId="77777777" w:rsidR="00615469" w:rsidRPr="003D1634" w:rsidRDefault="00615469" w:rsidP="00125EFF">
            <w:pPr>
              <w:spacing w:line="240" w:lineRule="auto"/>
              <w:ind w:right="358"/>
              <w:jc w:val="right"/>
              <w:rPr>
                <w:rFonts w:cs="Arial"/>
                <w:sz w:val="20"/>
              </w:rPr>
            </w:pPr>
            <w:r w:rsidRPr="003D1634">
              <w:rPr>
                <w:rFonts w:cs="Arial"/>
                <w:sz w:val="20"/>
              </w:rPr>
              <w:t>305</w:t>
            </w:r>
          </w:p>
        </w:tc>
      </w:tr>
      <w:tr w:rsidR="00615469" w:rsidRPr="003D1634" w14:paraId="7A76021A"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BF7FEB8" w14:textId="77777777" w:rsidR="00615469" w:rsidRPr="003D1634" w:rsidRDefault="00615469" w:rsidP="00AD3F10">
            <w:pPr>
              <w:spacing w:line="240" w:lineRule="auto"/>
              <w:jc w:val="both"/>
              <w:rPr>
                <w:rFonts w:cs="Arial"/>
                <w:sz w:val="20"/>
              </w:rPr>
            </w:pPr>
            <w:r w:rsidRPr="003D1634">
              <w:rPr>
                <w:rFonts w:cs="Arial"/>
                <w:sz w:val="20"/>
              </w:rPr>
              <w:t>Diakonisches Werk Hamburg</w:t>
            </w:r>
          </w:p>
        </w:tc>
        <w:tc>
          <w:tcPr>
            <w:tcW w:w="1965" w:type="dxa"/>
            <w:tcBorders>
              <w:top w:val="nil"/>
              <w:left w:val="nil"/>
              <w:bottom w:val="single" w:sz="4" w:space="0" w:color="auto"/>
              <w:right w:val="single" w:sz="4" w:space="0" w:color="auto"/>
            </w:tcBorders>
            <w:shd w:val="clear" w:color="auto" w:fill="auto"/>
            <w:noWrap/>
            <w:vAlign w:val="center"/>
            <w:hideMark/>
          </w:tcPr>
          <w:p w14:paraId="53F3CABC" w14:textId="77777777" w:rsidR="00615469" w:rsidRPr="003D1634" w:rsidRDefault="00615469" w:rsidP="00125EFF">
            <w:pPr>
              <w:spacing w:line="240" w:lineRule="auto"/>
              <w:ind w:right="358"/>
              <w:jc w:val="right"/>
              <w:rPr>
                <w:rFonts w:cs="Arial"/>
                <w:sz w:val="20"/>
              </w:rPr>
            </w:pPr>
            <w:r w:rsidRPr="003D1634">
              <w:rPr>
                <w:rFonts w:cs="Arial"/>
                <w:sz w:val="20"/>
              </w:rPr>
              <w:t>184</w:t>
            </w:r>
          </w:p>
        </w:tc>
        <w:tc>
          <w:tcPr>
            <w:tcW w:w="2552" w:type="dxa"/>
            <w:tcBorders>
              <w:top w:val="nil"/>
              <w:left w:val="nil"/>
              <w:bottom w:val="single" w:sz="4" w:space="0" w:color="auto"/>
              <w:right w:val="single" w:sz="4" w:space="0" w:color="auto"/>
            </w:tcBorders>
            <w:shd w:val="clear" w:color="auto" w:fill="auto"/>
            <w:noWrap/>
            <w:vAlign w:val="center"/>
            <w:hideMark/>
          </w:tcPr>
          <w:p w14:paraId="4AB56BBB" w14:textId="77777777" w:rsidR="00615469" w:rsidRPr="003D1634" w:rsidRDefault="00615469" w:rsidP="00125EFF">
            <w:pPr>
              <w:spacing w:line="240" w:lineRule="auto"/>
              <w:ind w:right="358"/>
              <w:jc w:val="right"/>
              <w:rPr>
                <w:rFonts w:cs="Arial"/>
                <w:sz w:val="20"/>
              </w:rPr>
            </w:pPr>
            <w:r w:rsidRPr="003D1634">
              <w:rPr>
                <w:rFonts w:cs="Arial"/>
                <w:sz w:val="20"/>
              </w:rPr>
              <w:t>102</w:t>
            </w:r>
          </w:p>
        </w:tc>
        <w:tc>
          <w:tcPr>
            <w:tcW w:w="1417" w:type="dxa"/>
            <w:tcBorders>
              <w:top w:val="nil"/>
              <w:left w:val="nil"/>
              <w:bottom w:val="single" w:sz="4" w:space="0" w:color="auto"/>
              <w:right w:val="single" w:sz="4" w:space="0" w:color="auto"/>
            </w:tcBorders>
            <w:shd w:val="clear" w:color="auto" w:fill="auto"/>
            <w:noWrap/>
            <w:vAlign w:val="center"/>
            <w:hideMark/>
          </w:tcPr>
          <w:p w14:paraId="2CF2D22E" w14:textId="77777777" w:rsidR="00615469" w:rsidRPr="003D1634" w:rsidRDefault="00615469" w:rsidP="00125EFF">
            <w:pPr>
              <w:spacing w:line="240" w:lineRule="auto"/>
              <w:ind w:right="358"/>
              <w:jc w:val="right"/>
              <w:rPr>
                <w:rFonts w:cs="Arial"/>
                <w:sz w:val="20"/>
              </w:rPr>
            </w:pPr>
            <w:r w:rsidRPr="003D1634">
              <w:rPr>
                <w:rFonts w:cs="Arial"/>
                <w:sz w:val="20"/>
              </w:rPr>
              <w:t>605</w:t>
            </w:r>
          </w:p>
        </w:tc>
      </w:tr>
      <w:tr w:rsidR="00615469" w:rsidRPr="003D1634" w14:paraId="3564F1A9"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1C3BA605" w14:textId="77777777" w:rsidR="00615469" w:rsidRPr="003D1634" w:rsidRDefault="00615469" w:rsidP="00AD3F10">
            <w:pPr>
              <w:spacing w:line="240" w:lineRule="auto"/>
              <w:jc w:val="both"/>
              <w:rPr>
                <w:rFonts w:cs="Arial"/>
                <w:sz w:val="20"/>
              </w:rPr>
            </w:pPr>
            <w:r w:rsidRPr="003D1634">
              <w:rPr>
                <w:rFonts w:cs="Arial"/>
                <w:sz w:val="20"/>
              </w:rPr>
              <w:t xml:space="preserve">Verbraucherzentrale Hamburg e.V. </w:t>
            </w:r>
          </w:p>
        </w:tc>
        <w:tc>
          <w:tcPr>
            <w:tcW w:w="1965" w:type="dxa"/>
            <w:tcBorders>
              <w:top w:val="nil"/>
              <w:left w:val="nil"/>
              <w:bottom w:val="single" w:sz="4" w:space="0" w:color="auto"/>
              <w:right w:val="single" w:sz="4" w:space="0" w:color="auto"/>
            </w:tcBorders>
            <w:shd w:val="clear" w:color="auto" w:fill="auto"/>
            <w:noWrap/>
            <w:vAlign w:val="center"/>
            <w:hideMark/>
          </w:tcPr>
          <w:p w14:paraId="375CC9FC" w14:textId="77777777" w:rsidR="00615469" w:rsidRPr="003D1634" w:rsidRDefault="00615469" w:rsidP="00125EFF">
            <w:pPr>
              <w:spacing w:line="240" w:lineRule="auto"/>
              <w:ind w:right="358"/>
              <w:jc w:val="right"/>
              <w:rPr>
                <w:rFonts w:cs="Arial"/>
                <w:sz w:val="20"/>
              </w:rPr>
            </w:pPr>
            <w:r w:rsidRPr="003D1634">
              <w:rPr>
                <w:rFonts w:cs="Arial"/>
                <w:sz w:val="20"/>
              </w:rPr>
              <w:t>114</w:t>
            </w:r>
          </w:p>
        </w:tc>
        <w:tc>
          <w:tcPr>
            <w:tcW w:w="2552" w:type="dxa"/>
            <w:tcBorders>
              <w:top w:val="nil"/>
              <w:left w:val="nil"/>
              <w:bottom w:val="single" w:sz="4" w:space="0" w:color="auto"/>
              <w:right w:val="single" w:sz="4" w:space="0" w:color="auto"/>
            </w:tcBorders>
            <w:shd w:val="clear" w:color="auto" w:fill="auto"/>
            <w:noWrap/>
            <w:vAlign w:val="center"/>
            <w:hideMark/>
          </w:tcPr>
          <w:p w14:paraId="7DBD9CEA" w14:textId="77777777" w:rsidR="00615469" w:rsidRPr="003D1634" w:rsidRDefault="00615469" w:rsidP="00125EFF">
            <w:pPr>
              <w:spacing w:line="240" w:lineRule="auto"/>
              <w:ind w:right="358"/>
              <w:jc w:val="right"/>
              <w:rPr>
                <w:rFonts w:cs="Arial"/>
                <w:sz w:val="20"/>
              </w:rPr>
            </w:pPr>
            <w:r w:rsidRPr="003D1634">
              <w:rPr>
                <w:rFonts w:cs="Arial"/>
                <w:sz w:val="20"/>
              </w:rPr>
              <w:t>88</w:t>
            </w:r>
          </w:p>
        </w:tc>
        <w:tc>
          <w:tcPr>
            <w:tcW w:w="1417" w:type="dxa"/>
            <w:tcBorders>
              <w:top w:val="nil"/>
              <w:left w:val="nil"/>
              <w:bottom w:val="single" w:sz="4" w:space="0" w:color="auto"/>
              <w:right w:val="single" w:sz="4" w:space="0" w:color="auto"/>
            </w:tcBorders>
            <w:shd w:val="clear" w:color="auto" w:fill="auto"/>
            <w:noWrap/>
            <w:vAlign w:val="center"/>
            <w:hideMark/>
          </w:tcPr>
          <w:p w14:paraId="6E39AB13" w14:textId="77777777" w:rsidR="00615469" w:rsidRPr="003D1634" w:rsidRDefault="00615469" w:rsidP="00125EFF">
            <w:pPr>
              <w:spacing w:line="240" w:lineRule="auto"/>
              <w:ind w:right="358"/>
              <w:jc w:val="right"/>
              <w:rPr>
                <w:rFonts w:cs="Arial"/>
                <w:sz w:val="20"/>
              </w:rPr>
            </w:pPr>
            <w:r w:rsidRPr="003D1634">
              <w:rPr>
                <w:rFonts w:cs="Arial"/>
                <w:sz w:val="20"/>
              </w:rPr>
              <w:t>648</w:t>
            </w:r>
          </w:p>
        </w:tc>
      </w:tr>
      <w:tr w:rsidR="00615469" w:rsidRPr="003D1634" w14:paraId="23A9D76B" w14:textId="77777777" w:rsidTr="00125EFF">
        <w:trPr>
          <w:trHeight w:val="29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C97C0AD" w14:textId="77777777" w:rsidR="00615469" w:rsidRPr="003D1634" w:rsidRDefault="00615469" w:rsidP="00AD3F10">
            <w:pPr>
              <w:spacing w:line="240" w:lineRule="auto"/>
              <w:jc w:val="both"/>
              <w:rPr>
                <w:rFonts w:cs="Arial"/>
                <w:sz w:val="20"/>
              </w:rPr>
            </w:pPr>
            <w:r w:rsidRPr="003D1634">
              <w:rPr>
                <w:rFonts w:cs="Arial"/>
                <w:sz w:val="20"/>
              </w:rPr>
              <w:t>Schuldenhilfe Sofort e.V.</w:t>
            </w:r>
          </w:p>
        </w:tc>
        <w:tc>
          <w:tcPr>
            <w:tcW w:w="1965" w:type="dxa"/>
            <w:tcBorders>
              <w:top w:val="nil"/>
              <w:left w:val="nil"/>
              <w:bottom w:val="single" w:sz="4" w:space="0" w:color="auto"/>
              <w:right w:val="single" w:sz="4" w:space="0" w:color="auto"/>
            </w:tcBorders>
            <w:shd w:val="clear" w:color="auto" w:fill="auto"/>
            <w:noWrap/>
            <w:vAlign w:val="center"/>
            <w:hideMark/>
          </w:tcPr>
          <w:p w14:paraId="64C79658" w14:textId="77777777" w:rsidR="00615469" w:rsidRPr="003D1634" w:rsidRDefault="00615469" w:rsidP="00125EFF">
            <w:pPr>
              <w:spacing w:line="240" w:lineRule="auto"/>
              <w:ind w:right="358"/>
              <w:jc w:val="right"/>
              <w:rPr>
                <w:rFonts w:cs="Arial"/>
                <w:sz w:val="20"/>
              </w:rPr>
            </w:pPr>
            <w:r w:rsidRPr="003D1634">
              <w:rPr>
                <w:rFonts w:cs="Arial"/>
                <w:sz w:val="20"/>
              </w:rPr>
              <w:t>108</w:t>
            </w:r>
          </w:p>
        </w:tc>
        <w:tc>
          <w:tcPr>
            <w:tcW w:w="2552" w:type="dxa"/>
            <w:tcBorders>
              <w:top w:val="nil"/>
              <w:left w:val="nil"/>
              <w:bottom w:val="single" w:sz="4" w:space="0" w:color="auto"/>
              <w:right w:val="single" w:sz="4" w:space="0" w:color="auto"/>
            </w:tcBorders>
            <w:shd w:val="clear" w:color="auto" w:fill="auto"/>
            <w:noWrap/>
            <w:vAlign w:val="center"/>
            <w:hideMark/>
          </w:tcPr>
          <w:p w14:paraId="57DFA494" w14:textId="77777777" w:rsidR="00615469" w:rsidRPr="003D1634" w:rsidRDefault="00615469" w:rsidP="00125EFF">
            <w:pPr>
              <w:spacing w:line="240" w:lineRule="auto"/>
              <w:ind w:right="358"/>
              <w:jc w:val="right"/>
              <w:rPr>
                <w:rFonts w:cs="Arial"/>
                <w:sz w:val="20"/>
              </w:rPr>
            </w:pPr>
            <w:r w:rsidRPr="003D1634">
              <w:rPr>
                <w:rFonts w:cs="Arial"/>
                <w:sz w:val="20"/>
              </w:rPr>
              <w:t>54</w:t>
            </w:r>
          </w:p>
        </w:tc>
        <w:tc>
          <w:tcPr>
            <w:tcW w:w="1417" w:type="dxa"/>
            <w:tcBorders>
              <w:top w:val="nil"/>
              <w:left w:val="nil"/>
              <w:bottom w:val="single" w:sz="4" w:space="0" w:color="auto"/>
              <w:right w:val="single" w:sz="4" w:space="0" w:color="auto"/>
            </w:tcBorders>
            <w:shd w:val="clear" w:color="auto" w:fill="auto"/>
            <w:noWrap/>
            <w:vAlign w:val="center"/>
            <w:hideMark/>
          </w:tcPr>
          <w:p w14:paraId="39B9B036" w14:textId="77777777" w:rsidR="00615469" w:rsidRPr="003D1634" w:rsidRDefault="00615469" w:rsidP="00125EFF">
            <w:pPr>
              <w:spacing w:line="240" w:lineRule="auto"/>
              <w:ind w:right="358"/>
              <w:jc w:val="right"/>
              <w:rPr>
                <w:rFonts w:cs="Arial"/>
                <w:sz w:val="20"/>
              </w:rPr>
            </w:pPr>
            <w:r w:rsidRPr="003D1634">
              <w:rPr>
                <w:rFonts w:cs="Arial"/>
                <w:sz w:val="20"/>
              </w:rPr>
              <w:t>577</w:t>
            </w:r>
          </w:p>
        </w:tc>
      </w:tr>
      <w:tr w:rsidR="00615469" w:rsidRPr="003D1634" w14:paraId="303294DC" w14:textId="77777777" w:rsidTr="00125EFF">
        <w:trPr>
          <w:trHeight w:val="52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45B9E881" w14:textId="77777777" w:rsidR="00615469" w:rsidRPr="003D1634" w:rsidRDefault="00615469" w:rsidP="00AD3F10">
            <w:pPr>
              <w:spacing w:line="240" w:lineRule="auto"/>
              <w:jc w:val="both"/>
              <w:rPr>
                <w:rFonts w:cs="Arial"/>
                <w:sz w:val="20"/>
              </w:rPr>
            </w:pPr>
            <w:r w:rsidRPr="003D1634">
              <w:rPr>
                <w:rFonts w:cs="Arial"/>
                <w:sz w:val="20"/>
              </w:rPr>
              <w:t>AWO AQtivus Servicegesellschaft gGmbH</w:t>
            </w:r>
          </w:p>
        </w:tc>
        <w:tc>
          <w:tcPr>
            <w:tcW w:w="1965" w:type="dxa"/>
            <w:tcBorders>
              <w:top w:val="nil"/>
              <w:left w:val="nil"/>
              <w:bottom w:val="single" w:sz="4" w:space="0" w:color="auto"/>
              <w:right w:val="single" w:sz="4" w:space="0" w:color="auto"/>
            </w:tcBorders>
            <w:shd w:val="clear" w:color="auto" w:fill="auto"/>
            <w:noWrap/>
            <w:vAlign w:val="center"/>
            <w:hideMark/>
          </w:tcPr>
          <w:p w14:paraId="08198564" w14:textId="77777777" w:rsidR="00615469" w:rsidRPr="003D1634" w:rsidRDefault="00615469" w:rsidP="00125EFF">
            <w:pPr>
              <w:spacing w:line="240" w:lineRule="auto"/>
              <w:ind w:right="358"/>
              <w:jc w:val="right"/>
              <w:rPr>
                <w:rFonts w:cs="Arial"/>
                <w:sz w:val="20"/>
              </w:rPr>
            </w:pPr>
            <w:r w:rsidRPr="003D1634">
              <w:rPr>
                <w:rFonts w:cs="Arial"/>
                <w:sz w:val="20"/>
              </w:rPr>
              <w:t>17</w:t>
            </w:r>
          </w:p>
        </w:tc>
        <w:tc>
          <w:tcPr>
            <w:tcW w:w="2552" w:type="dxa"/>
            <w:tcBorders>
              <w:top w:val="nil"/>
              <w:left w:val="nil"/>
              <w:bottom w:val="single" w:sz="4" w:space="0" w:color="auto"/>
              <w:right w:val="single" w:sz="4" w:space="0" w:color="auto"/>
            </w:tcBorders>
            <w:shd w:val="clear" w:color="auto" w:fill="auto"/>
            <w:noWrap/>
            <w:vAlign w:val="center"/>
            <w:hideMark/>
          </w:tcPr>
          <w:p w14:paraId="561F0FB7" w14:textId="77777777" w:rsidR="00615469" w:rsidRPr="003D1634" w:rsidRDefault="00615469" w:rsidP="00125EFF">
            <w:pPr>
              <w:spacing w:line="240" w:lineRule="auto"/>
              <w:ind w:right="358"/>
              <w:jc w:val="right"/>
              <w:rPr>
                <w:rFonts w:cs="Arial"/>
                <w:sz w:val="20"/>
              </w:rPr>
            </w:pPr>
            <w:r w:rsidRPr="003D1634">
              <w:rPr>
                <w:rFonts w:cs="Arial"/>
                <w:sz w:val="20"/>
              </w:rPr>
              <w:t>24</w:t>
            </w:r>
          </w:p>
        </w:tc>
        <w:tc>
          <w:tcPr>
            <w:tcW w:w="1417" w:type="dxa"/>
            <w:tcBorders>
              <w:top w:val="nil"/>
              <w:left w:val="nil"/>
              <w:bottom w:val="single" w:sz="4" w:space="0" w:color="auto"/>
              <w:right w:val="single" w:sz="4" w:space="0" w:color="auto"/>
            </w:tcBorders>
            <w:shd w:val="clear" w:color="auto" w:fill="auto"/>
            <w:noWrap/>
            <w:vAlign w:val="center"/>
            <w:hideMark/>
          </w:tcPr>
          <w:p w14:paraId="00AAB6C7" w14:textId="77777777" w:rsidR="00615469" w:rsidRPr="003D1634" w:rsidRDefault="00615469" w:rsidP="00125EFF">
            <w:pPr>
              <w:spacing w:line="240" w:lineRule="auto"/>
              <w:ind w:right="358"/>
              <w:jc w:val="right"/>
              <w:rPr>
                <w:rFonts w:cs="Arial"/>
                <w:sz w:val="20"/>
              </w:rPr>
            </w:pPr>
            <w:r w:rsidRPr="003D1634">
              <w:rPr>
                <w:rFonts w:cs="Arial"/>
                <w:sz w:val="20"/>
              </w:rPr>
              <w:t>149</w:t>
            </w:r>
          </w:p>
        </w:tc>
      </w:tr>
      <w:tr w:rsidR="00615469" w:rsidRPr="003D1634" w14:paraId="742DC335" w14:textId="77777777" w:rsidTr="00125EFF">
        <w:trPr>
          <w:trHeight w:val="290"/>
        </w:trPr>
        <w:tc>
          <w:tcPr>
            <w:tcW w:w="3280" w:type="dxa"/>
            <w:tcBorders>
              <w:top w:val="nil"/>
              <w:left w:val="single" w:sz="4" w:space="0" w:color="auto"/>
              <w:bottom w:val="single" w:sz="4" w:space="0" w:color="auto"/>
              <w:right w:val="single" w:sz="4" w:space="0" w:color="auto"/>
            </w:tcBorders>
            <w:shd w:val="clear" w:color="000000" w:fill="F2F2F2"/>
            <w:vAlign w:val="bottom"/>
            <w:hideMark/>
          </w:tcPr>
          <w:p w14:paraId="1F8587FA" w14:textId="77777777" w:rsidR="00615469" w:rsidRPr="003D1634" w:rsidRDefault="00615469" w:rsidP="00AD3F10">
            <w:pPr>
              <w:spacing w:line="240" w:lineRule="auto"/>
              <w:jc w:val="both"/>
              <w:rPr>
                <w:rFonts w:cs="Arial"/>
                <w:sz w:val="20"/>
              </w:rPr>
            </w:pPr>
            <w:r w:rsidRPr="003D1634">
              <w:rPr>
                <w:rFonts w:cs="Arial"/>
                <w:sz w:val="20"/>
              </w:rPr>
              <w:t>Summe</w:t>
            </w:r>
          </w:p>
        </w:tc>
        <w:tc>
          <w:tcPr>
            <w:tcW w:w="1965" w:type="dxa"/>
            <w:tcBorders>
              <w:top w:val="nil"/>
              <w:left w:val="nil"/>
              <w:bottom w:val="single" w:sz="4" w:space="0" w:color="auto"/>
              <w:right w:val="single" w:sz="4" w:space="0" w:color="auto"/>
            </w:tcBorders>
            <w:shd w:val="clear" w:color="000000" w:fill="F2F2F2"/>
            <w:noWrap/>
            <w:vAlign w:val="center"/>
            <w:hideMark/>
          </w:tcPr>
          <w:p w14:paraId="60BE4ECF" w14:textId="77777777" w:rsidR="00615469" w:rsidRPr="003D1634" w:rsidRDefault="00615469" w:rsidP="00125EFF">
            <w:pPr>
              <w:spacing w:line="240" w:lineRule="auto"/>
              <w:ind w:right="358"/>
              <w:jc w:val="right"/>
              <w:rPr>
                <w:rFonts w:cs="Arial"/>
                <w:sz w:val="20"/>
              </w:rPr>
            </w:pPr>
            <w:r w:rsidRPr="003D1634">
              <w:rPr>
                <w:rFonts w:cs="Arial"/>
                <w:sz w:val="20"/>
              </w:rPr>
              <w:t>777</w:t>
            </w:r>
          </w:p>
        </w:tc>
        <w:tc>
          <w:tcPr>
            <w:tcW w:w="2552" w:type="dxa"/>
            <w:tcBorders>
              <w:top w:val="nil"/>
              <w:left w:val="nil"/>
              <w:bottom w:val="single" w:sz="4" w:space="0" w:color="auto"/>
              <w:right w:val="single" w:sz="4" w:space="0" w:color="auto"/>
            </w:tcBorders>
            <w:shd w:val="clear" w:color="000000" w:fill="F2F2F2"/>
            <w:noWrap/>
            <w:vAlign w:val="center"/>
            <w:hideMark/>
          </w:tcPr>
          <w:p w14:paraId="7FE23A3E" w14:textId="77777777" w:rsidR="00615469" w:rsidRPr="003D1634" w:rsidRDefault="00615469" w:rsidP="00125EFF">
            <w:pPr>
              <w:spacing w:line="240" w:lineRule="auto"/>
              <w:ind w:right="358"/>
              <w:jc w:val="right"/>
              <w:rPr>
                <w:rFonts w:cs="Arial"/>
                <w:sz w:val="20"/>
              </w:rPr>
            </w:pPr>
            <w:r w:rsidRPr="003D1634">
              <w:rPr>
                <w:rFonts w:cs="Arial"/>
                <w:sz w:val="20"/>
              </w:rPr>
              <w:t>587</w:t>
            </w:r>
          </w:p>
        </w:tc>
        <w:tc>
          <w:tcPr>
            <w:tcW w:w="1417" w:type="dxa"/>
            <w:tcBorders>
              <w:top w:val="nil"/>
              <w:left w:val="nil"/>
              <w:bottom w:val="single" w:sz="4" w:space="0" w:color="auto"/>
              <w:right w:val="single" w:sz="4" w:space="0" w:color="auto"/>
            </w:tcBorders>
            <w:shd w:val="clear" w:color="000000" w:fill="F2F2F2"/>
            <w:noWrap/>
            <w:vAlign w:val="center"/>
            <w:hideMark/>
          </w:tcPr>
          <w:p w14:paraId="24E1595B" w14:textId="77777777" w:rsidR="00615469" w:rsidRPr="003D1634" w:rsidRDefault="00615469" w:rsidP="00125EFF">
            <w:pPr>
              <w:spacing w:line="240" w:lineRule="auto"/>
              <w:ind w:right="358"/>
              <w:jc w:val="right"/>
              <w:rPr>
                <w:rFonts w:cs="Arial"/>
                <w:sz w:val="20"/>
              </w:rPr>
            </w:pPr>
            <w:r w:rsidRPr="003D1634">
              <w:rPr>
                <w:rFonts w:cs="Arial"/>
                <w:sz w:val="20"/>
              </w:rPr>
              <w:t>3.576</w:t>
            </w:r>
          </w:p>
        </w:tc>
      </w:tr>
    </w:tbl>
    <w:p w14:paraId="4AC1F2BC" w14:textId="77777777" w:rsidR="003D1634" w:rsidRPr="006B6A1C" w:rsidRDefault="003D1634" w:rsidP="00AD3F10">
      <w:pPr>
        <w:spacing w:line="240" w:lineRule="auto"/>
        <w:rPr>
          <w:sz w:val="20"/>
        </w:rPr>
      </w:pPr>
    </w:p>
    <w:p w14:paraId="79EB07F5" w14:textId="77777777" w:rsidR="003C4F75" w:rsidRDefault="003C4F75" w:rsidP="00AD3F10">
      <w:pPr>
        <w:pStyle w:val="Frage-Nummerierung1"/>
        <w:numPr>
          <w:ilvl w:val="0"/>
          <w:numId w:val="0"/>
        </w:numPr>
        <w:spacing w:before="0"/>
        <w:ind w:left="1588" w:hanging="1588"/>
      </w:pPr>
    </w:p>
    <w:p w14:paraId="4EEFE267" w14:textId="697978A0" w:rsidR="003C4F75" w:rsidRDefault="0058657B" w:rsidP="00AD3F10">
      <w:pPr>
        <w:pStyle w:val="Frage-Nummerierung1"/>
        <w:spacing w:before="0"/>
        <w:ind w:left="1701" w:hanging="1701"/>
      </w:pPr>
      <w:r w:rsidRPr="0058657B">
        <w:t>Wie viele Haushalte hat die Verbraucherzentrale Hamburg im 1. und 2. Quartal 2023 im Bereich Gas- und Strompreisrecht beraten? Bitte immer quartalsweise benennen</w:t>
      </w:r>
      <w:r>
        <w:t>.</w:t>
      </w:r>
    </w:p>
    <w:p w14:paraId="505FC04D" w14:textId="04611761" w:rsidR="006B6A1C" w:rsidRDefault="006B6A1C" w:rsidP="00AD3F10">
      <w:pPr>
        <w:pStyle w:val="Frage-Nummerierung1"/>
        <w:numPr>
          <w:ilvl w:val="0"/>
          <w:numId w:val="0"/>
        </w:numPr>
        <w:spacing w:before="0"/>
        <w:ind w:left="1588" w:hanging="1588"/>
      </w:pPr>
    </w:p>
    <w:p w14:paraId="2E13F71D" w14:textId="7EEB584C" w:rsidR="006B6A1C" w:rsidRDefault="003D1634" w:rsidP="00AD3F10">
      <w:pPr>
        <w:pStyle w:val="Frage-Nummerierung1"/>
        <w:numPr>
          <w:ilvl w:val="0"/>
          <w:numId w:val="0"/>
        </w:numPr>
        <w:spacing w:before="0"/>
        <w:rPr>
          <w:i w:val="0"/>
        </w:rPr>
      </w:pPr>
      <w:r w:rsidRPr="003D1634">
        <w:rPr>
          <w:i w:val="0"/>
        </w:rPr>
        <w:t>Bei der Verbraucherzentrale Hamburg e. V. werden die Beratungskontakte zum Gas- und Strompreisrecht nicht gesondert erfasst. Die statistische Erhebung der Beratungen erfolgt jährlich. Die entsprechende Statistik für das Jahr 2023 wird im Jahr 2024 vorliegen.</w:t>
      </w:r>
    </w:p>
    <w:p w14:paraId="25A76A0D" w14:textId="1A9F342A" w:rsidR="003D1634" w:rsidRPr="006B6A1C" w:rsidRDefault="003D1634" w:rsidP="00AD3F10">
      <w:pPr>
        <w:pStyle w:val="Frage-Nummerierung1"/>
        <w:numPr>
          <w:ilvl w:val="0"/>
          <w:numId w:val="0"/>
        </w:numPr>
        <w:spacing w:before="0"/>
        <w:rPr>
          <w:i w:val="0"/>
        </w:rPr>
      </w:pPr>
      <w:r w:rsidRPr="003D1634">
        <w:rPr>
          <w:i w:val="0"/>
        </w:rPr>
        <w:t>Im Jahr 2022 hatte die Verbraucherzentrale 3.071 energierechtliche Beratungskontakte im weiteren Sinne inklusive der Energiekostenabrechnungsprüfungen. Diese Beratungskontakte betreffen überwiegend Fragen des Gas- und Strompreisrechts sowie die damit zusammenhängenden Fragen des Anbieterwechsels.</w:t>
      </w:r>
    </w:p>
    <w:p w14:paraId="71016D00" w14:textId="74158D87" w:rsidR="006B6A1C" w:rsidRDefault="006B6A1C" w:rsidP="00AD3F10">
      <w:pPr>
        <w:pStyle w:val="Frage-Nummerierung1"/>
        <w:numPr>
          <w:ilvl w:val="0"/>
          <w:numId w:val="0"/>
        </w:numPr>
        <w:spacing w:before="0"/>
        <w:ind w:left="1588" w:hanging="1588"/>
      </w:pPr>
    </w:p>
    <w:p w14:paraId="79E37A76" w14:textId="4EEFEDE8" w:rsidR="0058657B" w:rsidRPr="00AD3F10" w:rsidRDefault="0058657B" w:rsidP="00AD3F10">
      <w:pPr>
        <w:pStyle w:val="Frage-Nummerierung1"/>
        <w:numPr>
          <w:ilvl w:val="0"/>
          <w:numId w:val="0"/>
        </w:numPr>
        <w:spacing w:before="0"/>
        <w:ind w:left="1588" w:hanging="1588"/>
        <w:rPr>
          <w:b/>
        </w:rPr>
      </w:pPr>
      <w:r w:rsidRPr="00AD3F10">
        <w:rPr>
          <w:b/>
        </w:rPr>
        <w:t>Härtefallfonds</w:t>
      </w:r>
    </w:p>
    <w:p w14:paraId="406E7B6B" w14:textId="77777777" w:rsidR="003C4F75" w:rsidRDefault="003C4F75" w:rsidP="00AD3F10">
      <w:pPr>
        <w:pStyle w:val="Frage-Nummerierung1"/>
        <w:numPr>
          <w:ilvl w:val="0"/>
          <w:numId w:val="0"/>
        </w:numPr>
        <w:spacing w:before="0"/>
        <w:ind w:left="1588" w:hanging="1588"/>
      </w:pPr>
    </w:p>
    <w:p w14:paraId="66CEDDEB" w14:textId="715D7DD7" w:rsidR="006B6A1C" w:rsidRPr="003D1634" w:rsidRDefault="0058657B" w:rsidP="00AD3F10">
      <w:pPr>
        <w:pStyle w:val="Frage-Nummerierung1"/>
        <w:spacing w:before="0"/>
        <w:ind w:left="1701" w:hanging="1701"/>
        <w:jc w:val="left"/>
      </w:pPr>
      <w:r w:rsidRPr="0058657B">
        <w:t xml:space="preserve">Wie viele Anträge auf Übernahme der Energiekosten durch den Härtefallfonds sind bei den anerkannten Schuldnerberatungsstellen im </w:t>
      </w:r>
      <w:r w:rsidRPr="0058657B">
        <w:br/>
        <w:t>1. und 2. Quartal 2023 eingegangen</w:t>
      </w:r>
      <w:r w:rsidR="003C4F75" w:rsidRPr="003C4F75">
        <w:t>?</w:t>
      </w:r>
    </w:p>
    <w:p w14:paraId="592F0F1B" w14:textId="397163B9" w:rsidR="003C4F75" w:rsidRDefault="0058657B" w:rsidP="00AD3F10">
      <w:pPr>
        <w:pStyle w:val="Frage-Nummerierung1"/>
        <w:spacing w:before="0"/>
        <w:ind w:left="1701" w:hanging="1701"/>
      </w:pPr>
      <w:r w:rsidRPr="0058657B">
        <w:t>Wie viele der Anträge an den Härtefallfonds sind positiv beschieden und wie viele aus welchen Gründen abgelehnt worden</w:t>
      </w:r>
      <w:r>
        <w:t>?</w:t>
      </w:r>
    </w:p>
    <w:p w14:paraId="5AE310C5" w14:textId="54074AD4" w:rsidR="006B6A1C" w:rsidRDefault="006B6A1C" w:rsidP="00AD3F10">
      <w:pPr>
        <w:pStyle w:val="Frage-Nummerierung1"/>
        <w:numPr>
          <w:ilvl w:val="0"/>
          <w:numId w:val="0"/>
        </w:numPr>
        <w:spacing w:before="0"/>
        <w:ind w:left="1588" w:hanging="1588"/>
      </w:pPr>
    </w:p>
    <w:p w14:paraId="347AEC61" w14:textId="6953BBA7" w:rsidR="006B6A1C" w:rsidRPr="006B6A1C" w:rsidRDefault="003D1634" w:rsidP="00AD3F10">
      <w:pPr>
        <w:pStyle w:val="Frage-Nummerierung1"/>
        <w:numPr>
          <w:ilvl w:val="0"/>
          <w:numId w:val="0"/>
        </w:numPr>
        <w:spacing w:before="0"/>
        <w:rPr>
          <w:i w:val="0"/>
        </w:rPr>
      </w:pPr>
      <w:r w:rsidRPr="003D1634">
        <w:rPr>
          <w:i w:val="0"/>
        </w:rPr>
        <w:t>Seit dem Beginn der Förderung zum 1. Dezember 2022 wurden mit Stand 6. September 2023 20 Anträge positiv beschieden. Die Anzahl der Anträge bzw. Vorsprachen in den Schuldnerberatungsstellen sowie die der abgelehnten Anträge wird nicht statistisch erfasst</w:t>
      </w:r>
      <w:r>
        <w:rPr>
          <w:i w:val="0"/>
        </w:rPr>
        <w:t>.</w:t>
      </w:r>
    </w:p>
    <w:p w14:paraId="6F3791FB" w14:textId="77777777" w:rsidR="003C4F75" w:rsidRDefault="003C4F75" w:rsidP="00AD3F10">
      <w:pPr>
        <w:pStyle w:val="Frage-Nummerierung1"/>
        <w:numPr>
          <w:ilvl w:val="0"/>
          <w:numId w:val="0"/>
        </w:numPr>
        <w:spacing w:before="0"/>
        <w:ind w:left="1588" w:hanging="1588"/>
      </w:pPr>
    </w:p>
    <w:p w14:paraId="7D6359C5" w14:textId="0BF1BDCE" w:rsidR="003C4F75" w:rsidRDefault="0058657B" w:rsidP="00AD3F10">
      <w:pPr>
        <w:pStyle w:val="Frage-Nummerierung1"/>
        <w:spacing w:before="0"/>
        <w:ind w:left="1701" w:hanging="1701"/>
      </w:pPr>
      <w:r w:rsidRPr="0058657B">
        <w:t>Welche Maßnahmen hat der Senat ergriffen um Energieschuldner*innen über den Härtefallfonds zu informieren</w:t>
      </w:r>
      <w:r w:rsidR="003C4F75" w:rsidRPr="003C4F75">
        <w:t>?</w:t>
      </w:r>
    </w:p>
    <w:p w14:paraId="686AEE2F" w14:textId="694080C1" w:rsidR="006B6A1C" w:rsidRDefault="006B6A1C" w:rsidP="00AD3F10">
      <w:pPr>
        <w:pStyle w:val="Frage-Nummerierung1"/>
        <w:numPr>
          <w:ilvl w:val="0"/>
          <w:numId w:val="0"/>
        </w:numPr>
        <w:spacing w:before="0"/>
        <w:ind w:left="1588" w:hanging="1588"/>
      </w:pPr>
    </w:p>
    <w:p w14:paraId="2ADB917D" w14:textId="14D3152E" w:rsidR="003C4F75" w:rsidRPr="0058657B" w:rsidRDefault="003D1634" w:rsidP="00AD3F10">
      <w:pPr>
        <w:pStyle w:val="Frage-Nummerierung1"/>
        <w:numPr>
          <w:ilvl w:val="0"/>
          <w:numId w:val="0"/>
        </w:numPr>
        <w:spacing w:before="0"/>
        <w:rPr>
          <w:i w:val="0"/>
        </w:rPr>
      </w:pPr>
      <w:r w:rsidRPr="003D1634">
        <w:rPr>
          <w:i w:val="0"/>
        </w:rPr>
        <w:t xml:space="preserve">Über den Start des Härtefallfonds hat der Senat am 29. November </w:t>
      </w:r>
      <w:r w:rsidR="002E5C0C">
        <w:rPr>
          <w:i w:val="0"/>
        </w:rPr>
        <w:t xml:space="preserve">2022 </w:t>
      </w:r>
      <w:r w:rsidRPr="003D1634">
        <w:rPr>
          <w:i w:val="0"/>
        </w:rPr>
        <w:t>im Rahmen einer Pressekonferenz und einer Pressemitteilung informiert. Alle Informationen inklusive eines Vorabchecks, über den Bürgerinnen und Bürger prüfen können, ob ihr Antrag voraussichtlich bewilligt werden wird, sind über den Internetauftritt www.hamburg.de/haertefallfonds abrufbar. Ergänzend informiert auch der Stromgrundversorger auf seiner Internetseite über diese Möglichkeit. Schließlich weisen die Schuldnerberatungsstellen, die Bezirksämter und das Jobcenter in Beratungsgesprächen auf diese Möglichkeit hin.</w:t>
      </w:r>
    </w:p>
    <w:p w14:paraId="47AEE83B" w14:textId="76222006" w:rsidR="0058657B" w:rsidRPr="0058657B" w:rsidRDefault="0058657B" w:rsidP="00AD3F10">
      <w:pPr>
        <w:pStyle w:val="Frage-Vorbemerkung"/>
        <w:numPr>
          <w:ilvl w:val="0"/>
          <w:numId w:val="13"/>
        </w:numPr>
        <w:rPr>
          <w:rFonts w:ascii="Arial" w:hAnsi="Arial" w:cs="Arial"/>
        </w:rPr>
      </w:pPr>
      <w:r w:rsidRPr="0058657B">
        <w:rPr>
          <w:rFonts w:ascii="Arial" w:hAnsi="Arial" w:cs="Arial"/>
        </w:rPr>
        <w:t xml:space="preserve">Laut einer Pressemeldung des Statistischen Bundesamts von April 2023 kostete Strom die Verbraucher*innen durchschnittlich 34,96 Cent je Kilowattstunde im zweiten Halbjahr 2022. Damit stiegen die Strompreise im zweiten Halbjahr 2022 gegenüber dem ersten Halbjahr um 4,4 Prozent. Gegenüber dem zweiten Halbjahr 2021 lagen die Strompreise um 6,4 Prozent höher. Für Leistungsbezieher*innen führt eine Erhöhung der Stromkosten nicht automatisch zu einem erhöhten Anspruch, sondern zu einer Unterdeckung des Bedarfs der Leistungsbezieher*innen. Denn die Kosten für den Haushaltsstrom sind in den Regelleistungen nicht enthalten und werden vom Sozialleistungsträger nicht in tatsächlicher Höhe übernommen. </w:t>
      </w:r>
    </w:p>
    <w:p w14:paraId="1C0FF155" w14:textId="77777777" w:rsidR="0058657B" w:rsidRPr="0058657B" w:rsidRDefault="0058657B" w:rsidP="00125EFF">
      <w:pPr>
        <w:pStyle w:val="Frage-Nummerierung1"/>
        <w:numPr>
          <w:ilvl w:val="0"/>
          <w:numId w:val="17"/>
        </w:numPr>
        <w:spacing w:before="0"/>
        <w:rPr>
          <w:rFonts w:cs="Arial"/>
        </w:rPr>
      </w:pPr>
      <w:r w:rsidRPr="0058657B">
        <w:rPr>
          <w:rFonts w:cs="Arial"/>
        </w:rPr>
        <w:t xml:space="preserve">Wie viele Anträge auf darlehensweise Übernahme von Energieschulden gemäß § 24 Absatz 1 SGB II wurden seit 2022 gestellt? </w:t>
      </w:r>
    </w:p>
    <w:p w14:paraId="2AAA11D0" w14:textId="77777777" w:rsidR="0058657B" w:rsidRPr="0058657B" w:rsidRDefault="0058657B" w:rsidP="00AD3F10">
      <w:pPr>
        <w:pStyle w:val="Frage-Fortsetzung"/>
        <w:spacing w:before="0"/>
        <w:rPr>
          <w:rFonts w:ascii="Arial" w:hAnsi="Arial" w:cs="Arial"/>
        </w:rPr>
      </w:pPr>
      <w:r w:rsidRPr="0058657B">
        <w:rPr>
          <w:rFonts w:ascii="Arial" w:hAnsi="Arial" w:cs="Arial"/>
        </w:rPr>
        <w:t xml:space="preserve">Wie viele Anträge wurden positiv beschieden? </w:t>
      </w:r>
    </w:p>
    <w:p w14:paraId="597A1A6C" w14:textId="77777777" w:rsidR="0058657B" w:rsidRPr="0058657B" w:rsidRDefault="0058657B" w:rsidP="00AD3F10">
      <w:pPr>
        <w:pStyle w:val="Frage-Fortsetzung"/>
        <w:spacing w:before="0"/>
        <w:rPr>
          <w:rFonts w:ascii="Arial" w:hAnsi="Arial" w:cs="Arial"/>
        </w:rPr>
      </w:pPr>
      <w:r w:rsidRPr="0058657B">
        <w:rPr>
          <w:rFonts w:ascii="Arial" w:hAnsi="Arial" w:cs="Arial"/>
        </w:rPr>
        <w:t>Wie viele Anträge wurden aus welchen Gründen abgelehnt?</w:t>
      </w:r>
    </w:p>
    <w:p w14:paraId="3C54947A" w14:textId="77777777" w:rsidR="0058657B" w:rsidRPr="0058657B" w:rsidRDefault="0058657B" w:rsidP="00AD3F10">
      <w:pPr>
        <w:pStyle w:val="Frage-Fortsetzung"/>
        <w:spacing w:before="0"/>
        <w:rPr>
          <w:rFonts w:ascii="Arial" w:hAnsi="Arial" w:cs="Arial"/>
        </w:rPr>
      </w:pPr>
      <w:r w:rsidRPr="0058657B">
        <w:rPr>
          <w:rFonts w:ascii="Arial" w:hAnsi="Arial" w:cs="Arial"/>
        </w:rPr>
        <w:t>Bitte quartalsweise angeben.</w:t>
      </w:r>
    </w:p>
    <w:p w14:paraId="44F9E0E8" w14:textId="77777777" w:rsidR="0058657B" w:rsidRDefault="0058657B" w:rsidP="00AD3F10">
      <w:pPr>
        <w:pStyle w:val="Frage-Nummerierung1"/>
        <w:spacing w:before="0"/>
      </w:pPr>
      <w:r>
        <w:t xml:space="preserve">Wie viele Anträge auf darlehensweise Übernahme von Energieschulden gemäß § 22 Absatz 8 SGB II wurden seit 2022 gestellt? </w:t>
      </w:r>
    </w:p>
    <w:p w14:paraId="41360EE8" w14:textId="77777777" w:rsidR="0058657B" w:rsidRDefault="0058657B" w:rsidP="00AD3F10">
      <w:pPr>
        <w:pStyle w:val="Frage-Nummerierung1"/>
        <w:numPr>
          <w:ilvl w:val="0"/>
          <w:numId w:val="0"/>
        </w:numPr>
        <w:spacing w:before="0"/>
        <w:ind w:left="1588"/>
      </w:pPr>
      <w:r>
        <w:t xml:space="preserve">Wie viele Anträge wurden positiv beschieden? </w:t>
      </w:r>
    </w:p>
    <w:p w14:paraId="51E69FF7" w14:textId="77777777" w:rsidR="0058657B" w:rsidRDefault="0058657B" w:rsidP="00AD3F10">
      <w:pPr>
        <w:pStyle w:val="Frage-Nummerierung1"/>
        <w:numPr>
          <w:ilvl w:val="0"/>
          <w:numId w:val="0"/>
        </w:numPr>
        <w:spacing w:before="0"/>
        <w:ind w:left="1588"/>
      </w:pPr>
      <w:r>
        <w:t>Wie viele Anträge wurden aus welchen Gründen abgelehnt?</w:t>
      </w:r>
    </w:p>
    <w:p w14:paraId="47B65487" w14:textId="2DCB4165" w:rsidR="003C4F75" w:rsidRDefault="0058657B" w:rsidP="00AD3F10">
      <w:pPr>
        <w:pStyle w:val="Frage-Nummerierung1"/>
        <w:numPr>
          <w:ilvl w:val="0"/>
          <w:numId w:val="0"/>
        </w:numPr>
        <w:spacing w:before="0"/>
        <w:ind w:left="1588"/>
      </w:pPr>
      <w:r>
        <w:t>Bitte quartalsweise angeben.</w:t>
      </w:r>
    </w:p>
    <w:p w14:paraId="4D58A94C" w14:textId="77777777" w:rsidR="0058657B" w:rsidRDefault="0058657B" w:rsidP="00AD3F10">
      <w:pPr>
        <w:pStyle w:val="Frage-Nummerierung1"/>
        <w:spacing w:before="0"/>
      </w:pPr>
      <w:r>
        <w:t xml:space="preserve">Wie viele Anträge auf Übernahme von Energieschulden gemäß § 36 Absatz 1 Satz 2 SGB XII wurden seit 2022 gestellt? </w:t>
      </w:r>
    </w:p>
    <w:p w14:paraId="5D63BA33" w14:textId="77777777" w:rsidR="0058657B" w:rsidRDefault="0058657B" w:rsidP="00AD3F10">
      <w:pPr>
        <w:pStyle w:val="Frage-Nummerierung1"/>
        <w:numPr>
          <w:ilvl w:val="0"/>
          <w:numId w:val="0"/>
        </w:numPr>
        <w:spacing w:before="0"/>
        <w:ind w:left="1588"/>
      </w:pPr>
      <w:r>
        <w:t xml:space="preserve">Wie viele Anträge wurden positiv beschieden? </w:t>
      </w:r>
    </w:p>
    <w:p w14:paraId="55EB1E74" w14:textId="77777777" w:rsidR="0058657B" w:rsidRDefault="0058657B" w:rsidP="00AD3F10">
      <w:pPr>
        <w:pStyle w:val="Frage-Nummerierung1"/>
        <w:numPr>
          <w:ilvl w:val="0"/>
          <w:numId w:val="0"/>
        </w:numPr>
        <w:spacing w:before="0"/>
        <w:ind w:left="1588"/>
      </w:pPr>
      <w:r>
        <w:t>Wie viele Anträge wurden aus welchen Gründen abgelehnt?</w:t>
      </w:r>
    </w:p>
    <w:p w14:paraId="70AD39C0" w14:textId="46E271BC" w:rsidR="003C4F75" w:rsidRDefault="0058657B" w:rsidP="00AD3F10">
      <w:pPr>
        <w:pStyle w:val="Frage-Nummerierung1"/>
        <w:numPr>
          <w:ilvl w:val="0"/>
          <w:numId w:val="0"/>
        </w:numPr>
        <w:spacing w:before="0"/>
        <w:ind w:left="1588"/>
      </w:pPr>
      <w:r>
        <w:t>Bitte quartalsweise angeben.</w:t>
      </w:r>
    </w:p>
    <w:p w14:paraId="67E63CDB" w14:textId="23871585" w:rsidR="006B6A1C" w:rsidRPr="00615FB0" w:rsidRDefault="006B6A1C" w:rsidP="00AD3F10">
      <w:pPr>
        <w:pStyle w:val="Frage-Nummerierung1"/>
        <w:numPr>
          <w:ilvl w:val="0"/>
          <w:numId w:val="0"/>
        </w:numPr>
        <w:spacing w:before="0"/>
        <w:ind w:left="1588" w:hanging="1588"/>
        <w:rPr>
          <w:i w:val="0"/>
          <w:color w:val="FF0000"/>
        </w:rPr>
      </w:pPr>
    </w:p>
    <w:p w14:paraId="69989E06" w14:textId="6AED480D" w:rsidR="00682A81" w:rsidRDefault="00682A81" w:rsidP="00AD3F10">
      <w:pPr>
        <w:pStyle w:val="Frage-Nummerierung1"/>
        <w:numPr>
          <w:ilvl w:val="0"/>
          <w:numId w:val="0"/>
        </w:numPr>
        <w:spacing w:before="0"/>
        <w:rPr>
          <w:i w:val="0"/>
        </w:rPr>
      </w:pPr>
      <w:r w:rsidRPr="003D1634">
        <w:rPr>
          <w:i w:val="0"/>
        </w:rPr>
        <w:t xml:space="preserve">Die zur Beantwortung benötigten Daten werden nicht gesondert statistisch erfasst. Eine Einzelfallauszählung/-wertung von rund 100.000 Leistungsakten ist in der für die Beantwortung einer </w:t>
      </w:r>
      <w:r w:rsidR="00B423D0">
        <w:rPr>
          <w:i w:val="0"/>
        </w:rPr>
        <w:t>P</w:t>
      </w:r>
      <w:r w:rsidRPr="003D1634">
        <w:rPr>
          <w:i w:val="0"/>
        </w:rPr>
        <w:t>arlamentarischen Anfrage zur Verfügung stehenden Zeit nicht möglich</w:t>
      </w:r>
      <w:r>
        <w:rPr>
          <w:i w:val="0"/>
        </w:rPr>
        <w:t>.</w:t>
      </w:r>
    </w:p>
    <w:p w14:paraId="24B774BD" w14:textId="77777777" w:rsidR="00640D8F" w:rsidRPr="00640D8F" w:rsidRDefault="00640D8F" w:rsidP="00AD3F10">
      <w:pPr>
        <w:pStyle w:val="Frage-Nummerierung1"/>
        <w:numPr>
          <w:ilvl w:val="0"/>
          <w:numId w:val="0"/>
        </w:numPr>
        <w:spacing w:before="0"/>
        <w:rPr>
          <w:i w:val="0"/>
        </w:rPr>
      </w:pPr>
    </w:p>
    <w:sectPr w:rsidR="00640D8F" w:rsidRPr="00640D8F" w:rsidSect="00643A4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DA40" w14:textId="77777777" w:rsidR="00FE286E" w:rsidRDefault="00FE286E">
      <w:r>
        <w:separator/>
      </w:r>
    </w:p>
  </w:endnote>
  <w:endnote w:type="continuationSeparator" w:id="0">
    <w:p w14:paraId="6503B0F0" w14:textId="77777777" w:rsidR="00FE286E" w:rsidRDefault="00F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C717" w14:textId="6C509250" w:rsidR="00D51C9A" w:rsidRPr="00D51C9A" w:rsidRDefault="00D51C9A">
    <w:pPr>
      <w:pStyle w:val="Fuzeile"/>
      <w:rPr>
        <w:rFonts w:cs="Arial"/>
        <w:sz w:val="20"/>
      </w:rPr>
    </w:pPr>
    <w:r>
      <w:rPr>
        <w:rFonts w:cs="Arial"/>
        <w:sz w:val="20"/>
      </w:rPr>
      <w:t>22-12866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6D2A" w14:textId="4A8520CC" w:rsidR="00D51C9A" w:rsidRPr="00D51C9A" w:rsidRDefault="00D51C9A">
    <w:pPr>
      <w:pStyle w:val="Fuzeile"/>
      <w:rPr>
        <w:rFonts w:cs="Arial"/>
        <w:sz w:val="20"/>
      </w:rPr>
    </w:pPr>
    <w:r>
      <w:rPr>
        <w:rFonts w:cs="Arial"/>
        <w:sz w:val="20"/>
      </w:rPr>
      <w:t>22-12866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B622DC">
      <w:rPr>
        <w:rFonts w:cs="Arial"/>
        <w:noProof/>
        <w:sz w:val="20"/>
      </w:rPr>
      <w:t>4</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B622DC">
      <w:rPr>
        <w:rFonts w:cs="Arial"/>
        <w:noProof/>
        <w:sz w:val="20"/>
      </w:rPr>
      <w:t>4</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F20E" w14:textId="76A2CBE2" w:rsidR="00D51C9A" w:rsidRPr="00D51C9A" w:rsidRDefault="00D51C9A">
    <w:pPr>
      <w:pStyle w:val="Fuzeile"/>
      <w:rPr>
        <w:rFonts w:cs="Arial"/>
        <w:sz w:val="20"/>
      </w:rPr>
    </w:pPr>
    <w:r>
      <w:rPr>
        <w:rFonts w:cs="Arial"/>
        <w:sz w:val="20"/>
      </w:rPr>
      <w:t>22-12866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B622DC">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B622DC">
      <w:rPr>
        <w:rFonts w:cs="Arial"/>
        <w:noProof/>
        <w:sz w:val="20"/>
      </w:rPr>
      <w:t>4</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8732" w14:textId="77777777" w:rsidR="00FE286E" w:rsidRDefault="00FE286E">
      <w:r>
        <w:separator/>
      </w:r>
    </w:p>
  </w:footnote>
  <w:footnote w:type="continuationSeparator" w:id="0">
    <w:p w14:paraId="2CD9D2FD" w14:textId="77777777" w:rsidR="00FE286E" w:rsidRDefault="00F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664B" w14:textId="77777777"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F551FB0"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212C" w14:textId="4A276493"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622DC">
      <w:rPr>
        <w:rStyle w:val="Seitenzahl"/>
        <w:noProof/>
      </w:rPr>
      <w:t>4</w:t>
    </w:r>
    <w:r>
      <w:rPr>
        <w:rStyle w:val="Seitenzahl"/>
      </w:rPr>
      <w:fldChar w:fldCharType="end"/>
    </w:r>
  </w:p>
  <w:p w14:paraId="3381562C"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9BED" w14:textId="77777777" w:rsidR="00D51C9A" w:rsidRDefault="00D51C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E8D"/>
    <w:multiLevelType w:val="hybridMultilevel"/>
    <w:tmpl w:val="B7B05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777C7"/>
    <w:multiLevelType w:val="hybridMultilevel"/>
    <w:tmpl w:val="6752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0071EF"/>
    <w:multiLevelType w:val="multilevel"/>
    <w:tmpl w:val="1B863982"/>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66423964"/>
    <w:multiLevelType w:val="multilevel"/>
    <w:tmpl w:val="3724BAC4"/>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7FDB3CD7"/>
    <w:multiLevelType w:val="hybridMultilevel"/>
    <w:tmpl w:val="2ACC4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
    <w:abstractNumId w:val="2"/>
  </w:num>
  <w:num w:numId="3">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4">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5">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6">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7">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8">
    <w:abstractNumId w:val="1"/>
  </w:num>
  <w:num w:numId="9">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0">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2">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3">
    <w:abstractNumId w:val="3"/>
    <w:lvlOverride w:ilvl="0">
      <w:lvl w:ilvl="0">
        <w:start w:val="1"/>
        <w:numFmt w:val="none"/>
        <w:pStyle w:val="FrageVorbemerkung"/>
        <w:lvlText w:val="Vorbemerkung:"/>
        <w:lvlJc w:val="left"/>
        <w:pPr>
          <w:ind w:left="1588" w:hanging="1588"/>
        </w:pPr>
        <w:rPr>
          <w:rFonts w:ascii="Arial" w:hAnsi="Arial" w:cs="Arial" w:hint="default"/>
          <w:b/>
          <w:i/>
          <w:lang w:val="de-DE"/>
        </w:rPr>
      </w:lvl>
    </w:lvlOverride>
  </w:num>
  <w:num w:numId="14">
    <w:abstractNumId w:val="3"/>
  </w:num>
  <w:num w:numId="15">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7">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8">
    <w:abstractNumId w:val="2"/>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7A"/>
    <w:rsid w:val="00000BA4"/>
    <w:rsid w:val="00002ADB"/>
    <w:rsid w:val="00006255"/>
    <w:rsid w:val="00006B01"/>
    <w:rsid w:val="000153C0"/>
    <w:rsid w:val="00016337"/>
    <w:rsid w:val="000351A5"/>
    <w:rsid w:val="00041614"/>
    <w:rsid w:val="00042C45"/>
    <w:rsid w:val="00042D28"/>
    <w:rsid w:val="00046909"/>
    <w:rsid w:val="00052B45"/>
    <w:rsid w:val="000573D9"/>
    <w:rsid w:val="00063259"/>
    <w:rsid w:val="00063BAB"/>
    <w:rsid w:val="000640D5"/>
    <w:rsid w:val="000674B4"/>
    <w:rsid w:val="0007301E"/>
    <w:rsid w:val="00074D32"/>
    <w:rsid w:val="0007709A"/>
    <w:rsid w:val="00092C03"/>
    <w:rsid w:val="000942F5"/>
    <w:rsid w:val="00096553"/>
    <w:rsid w:val="000A09C3"/>
    <w:rsid w:val="000A1FFC"/>
    <w:rsid w:val="000A2056"/>
    <w:rsid w:val="000B36D4"/>
    <w:rsid w:val="000B46F8"/>
    <w:rsid w:val="000C3A4A"/>
    <w:rsid w:val="000D6698"/>
    <w:rsid w:val="000D6BE3"/>
    <w:rsid w:val="000E1DD9"/>
    <w:rsid w:val="000E4570"/>
    <w:rsid w:val="000E5856"/>
    <w:rsid w:val="000F5FD7"/>
    <w:rsid w:val="001140FF"/>
    <w:rsid w:val="00121B13"/>
    <w:rsid w:val="001254A7"/>
    <w:rsid w:val="00125EFF"/>
    <w:rsid w:val="0012697E"/>
    <w:rsid w:val="0012778F"/>
    <w:rsid w:val="00132576"/>
    <w:rsid w:val="001347AC"/>
    <w:rsid w:val="00134861"/>
    <w:rsid w:val="00141F73"/>
    <w:rsid w:val="0014555A"/>
    <w:rsid w:val="001541AE"/>
    <w:rsid w:val="00155FE3"/>
    <w:rsid w:val="00156304"/>
    <w:rsid w:val="00157343"/>
    <w:rsid w:val="0016163D"/>
    <w:rsid w:val="00165DB1"/>
    <w:rsid w:val="00167437"/>
    <w:rsid w:val="00170229"/>
    <w:rsid w:val="00172B49"/>
    <w:rsid w:val="0018345B"/>
    <w:rsid w:val="001939A2"/>
    <w:rsid w:val="001A2FED"/>
    <w:rsid w:val="001A79A7"/>
    <w:rsid w:val="001C39F0"/>
    <w:rsid w:val="001C4CA7"/>
    <w:rsid w:val="001C79D0"/>
    <w:rsid w:val="001D52E6"/>
    <w:rsid w:val="001D592B"/>
    <w:rsid w:val="001E2A72"/>
    <w:rsid w:val="001E6C76"/>
    <w:rsid w:val="001E7334"/>
    <w:rsid w:val="00204E84"/>
    <w:rsid w:val="00212A5B"/>
    <w:rsid w:val="00215750"/>
    <w:rsid w:val="00216C69"/>
    <w:rsid w:val="00217D86"/>
    <w:rsid w:val="00221D40"/>
    <w:rsid w:val="00224F9D"/>
    <w:rsid w:val="00226994"/>
    <w:rsid w:val="002273C4"/>
    <w:rsid w:val="0023106E"/>
    <w:rsid w:val="00235BCA"/>
    <w:rsid w:val="002448EA"/>
    <w:rsid w:val="00250D0E"/>
    <w:rsid w:val="002526A1"/>
    <w:rsid w:val="002555B2"/>
    <w:rsid w:val="00256A80"/>
    <w:rsid w:val="002638A5"/>
    <w:rsid w:val="002670DE"/>
    <w:rsid w:val="00270B6C"/>
    <w:rsid w:val="00270EFE"/>
    <w:rsid w:val="00282058"/>
    <w:rsid w:val="0028669D"/>
    <w:rsid w:val="00286B3E"/>
    <w:rsid w:val="00290512"/>
    <w:rsid w:val="00291B19"/>
    <w:rsid w:val="00295F35"/>
    <w:rsid w:val="00296269"/>
    <w:rsid w:val="002A06B9"/>
    <w:rsid w:val="002A13AA"/>
    <w:rsid w:val="002A1B18"/>
    <w:rsid w:val="002A368B"/>
    <w:rsid w:val="002A7457"/>
    <w:rsid w:val="002B5F4E"/>
    <w:rsid w:val="002B7DA9"/>
    <w:rsid w:val="002C7A46"/>
    <w:rsid w:val="002D2ED6"/>
    <w:rsid w:val="002D6D08"/>
    <w:rsid w:val="002E1511"/>
    <w:rsid w:val="002E4182"/>
    <w:rsid w:val="002E5C0C"/>
    <w:rsid w:val="002E6FB3"/>
    <w:rsid w:val="00300992"/>
    <w:rsid w:val="003033A8"/>
    <w:rsid w:val="00305FA8"/>
    <w:rsid w:val="003108E4"/>
    <w:rsid w:val="00313272"/>
    <w:rsid w:val="00317FA6"/>
    <w:rsid w:val="00321A6D"/>
    <w:rsid w:val="003232D1"/>
    <w:rsid w:val="003262C1"/>
    <w:rsid w:val="00327F31"/>
    <w:rsid w:val="003304F2"/>
    <w:rsid w:val="00331604"/>
    <w:rsid w:val="00335694"/>
    <w:rsid w:val="0033688E"/>
    <w:rsid w:val="003374DF"/>
    <w:rsid w:val="00344360"/>
    <w:rsid w:val="00346C8D"/>
    <w:rsid w:val="0035759C"/>
    <w:rsid w:val="003620F6"/>
    <w:rsid w:val="003640D4"/>
    <w:rsid w:val="0036553B"/>
    <w:rsid w:val="003656D8"/>
    <w:rsid w:val="00367466"/>
    <w:rsid w:val="00376E14"/>
    <w:rsid w:val="0039292C"/>
    <w:rsid w:val="00393E24"/>
    <w:rsid w:val="00395E98"/>
    <w:rsid w:val="003A1490"/>
    <w:rsid w:val="003A7EDD"/>
    <w:rsid w:val="003B194F"/>
    <w:rsid w:val="003B3E94"/>
    <w:rsid w:val="003B6051"/>
    <w:rsid w:val="003C2138"/>
    <w:rsid w:val="003C4F75"/>
    <w:rsid w:val="003D1634"/>
    <w:rsid w:val="003D22DC"/>
    <w:rsid w:val="003D5029"/>
    <w:rsid w:val="003D6572"/>
    <w:rsid w:val="003D745F"/>
    <w:rsid w:val="003E264E"/>
    <w:rsid w:val="003E2E94"/>
    <w:rsid w:val="003E643A"/>
    <w:rsid w:val="003E7E43"/>
    <w:rsid w:val="003F1E96"/>
    <w:rsid w:val="003F25AC"/>
    <w:rsid w:val="003F4D15"/>
    <w:rsid w:val="003F645E"/>
    <w:rsid w:val="00400D65"/>
    <w:rsid w:val="00403255"/>
    <w:rsid w:val="00410004"/>
    <w:rsid w:val="00410689"/>
    <w:rsid w:val="004151FF"/>
    <w:rsid w:val="00416643"/>
    <w:rsid w:val="00434CA6"/>
    <w:rsid w:val="00440907"/>
    <w:rsid w:val="00440E25"/>
    <w:rsid w:val="00441997"/>
    <w:rsid w:val="00450CD9"/>
    <w:rsid w:val="004569F4"/>
    <w:rsid w:val="00463383"/>
    <w:rsid w:val="0047117F"/>
    <w:rsid w:val="0047251A"/>
    <w:rsid w:val="00481E1A"/>
    <w:rsid w:val="00486925"/>
    <w:rsid w:val="004871C3"/>
    <w:rsid w:val="0049211A"/>
    <w:rsid w:val="00494BB6"/>
    <w:rsid w:val="004952B7"/>
    <w:rsid w:val="0049673E"/>
    <w:rsid w:val="00497078"/>
    <w:rsid w:val="004A1A07"/>
    <w:rsid w:val="004A40F4"/>
    <w:rsid w:val="004A554B"/>
    <w:rsid w:val="004B37A9"/>
    <w:rsid w:val="004B3ABF"/>
    <w:rsid w:val="004C0626"/>
    <w:rsid w:val="004C0851"/>
    <w:rsid w:val="004C48EF"/>
    <w:rsid w:val="004C69D1"/>
    <w:rsid w:val="004D0573"/>
    <w:rsid w:val="004D0D90"/>
    <w:rsid w:val="004D39BB"/>
    <w:rsid w:val="004D4D9B"/>
    <w:rsid w:val="004D6179"/>
    <w:rsid w:val="004D6ECF"/>
    <w:rsid w:val="004E1956"/>
    <w:rsid w:val="004E4D95"/>
    <w:rsid w:val="004E5C0A"/>
    <w:rsid w:val="004E6B3D"/>
    <w:rsid w:val="004F155D"/>
    <w:rsid w:val="00501574"/>
    <w:rsid w:val="005015DA"/>
    <w:rsid w:val="00503317"/>
    <w:rsid w:val="005145D4"/>
    <w:rsid w:val="00517DC6"/>
    <w:rsid w:val="00520509"/>
    <w:rsid w:val="00522FD8"/>
    <w:rsid w:val="0053116B"/>
    <w:rsid w:val="0054295E"/>
    <w:rsid w:val="00544C2B"/>
    <w:rsid w:val="005459CC"/>
    <w:rsid w:val="00552141"/>
    <w:rsid w:val="005555B4"/>
    <w:rsid w:val="005600C0"/>
    <w:rsid w:val="005624BE"/>
    <w:rsid w:val="00564EF0"/>
    <w:rsid w:val="00573838"/>
    <w:rsid w:val="00575858"/>
    <w:rsid w:val="0058657B"/>
    <w:rsid w:val="00593BF6"/>
    <w:rsid w:val="005978D7"/>
    <w:rsid w:val="005A7AFB"/>
    <w:rsid w:val="005B15FB"/>
    <w:rsid w:val="005B3A47"/>
    <w:rsid w:val="005B6416"/>
    <w:rsid w:val="005C0F17"/>
    <w:rsid w:val="005C14C4"/>
    <w:rsid w:val="005C5016"/>
    <w:rsid w:val="005C5B61"/>
    <w:rsid w:val="005D1542"/>
    <w:rsid w:val="005E007B"/>
    <w:rsid w:val="005E021F"/>
    <w:rsid w:val="005E2F3F"/>
    <w:rsid w:val="005E5EA0"/>
    <w:rsid w:val="005E6124"/>
    <w:rsid w:val="005F4080"/>
    <w:rsid w:val="0060023A"/>
    <w:rsid w:val="0060396F"/>
    <w:rsid w:val="00605711"/>
    <w:rsid w:val="00611767"/>
    <w:rsid w:val="0061361E"/>
    <w:rsid w:val="00615469"/>
    <w:rsid w:val="00615A2E"/>
    <w:rsid w:val="00615FB0"/>
    <w:rsid w:val="00617EA5"/>
    <w:rsid w:val="00625469"/>
    <w:rsid w:val="0063137A"/>
    <w:rsid w:val="00636D80"/>
    <w:rsid w:val="00640BDE"/>
    <w:rsid w:val="00640D8F"/>
    <w:rsid w:val="00643A4E"/>
    <w:rsid w:val="00645797"/>
    <w:rsid w:val="0065184A"/>
    <w:rsid w:val="00652E2A"/>
    <w:rsid w:val="00657703"/>
    <w:rsid w:val="006579BB"/>
    <w:rsid w:val="00660E47"/>
    <w:rsid w:val="00661C60"/>
    <w:rsid w:val="006622CD"/>
    <w:rsid w:val="0067055B"/>
    <w:rsid w:val="006760C9"/>
    <w:rsid w:val="00676229"/>
    <w:rsid w:val="00676B5A"/>
    <w:rsid w:val="00682416"/>
    <w:rsid w:val="00682A81"/>
    <w:rsid w:val="006908CD"/>
    <w:rsid w:val="00694FB5"/>
    <w:rsid w:val="006A00C4"/>
    <w:rsid w:val="006A193C"/>
    <w:rsid w:val="006A6593"/>
    <w:rsid w:val="006A6D72"/>
    <w:rsid w:val="006B1093"/>
    <w:rsid w:val="006B6A1C"/>
    <w:rsid w:val="006B728D"/>
    <w:rsid w:val="006B7604"/>
    <w:rsid w:val="006C0E3D"/>
    <w:rsid w:val="006C1B2B"/>
    <w:rsid w:val="006D42A5"/>
    <w:rsid w:val="006D7061"/>
    <w:rsid w:val="006E4633"/>
    <w:rsid w:val="006E5244"/>
    <w:rsid w:val="006E64D1"/>
    <w:rsid w:val="006F1B0C"/>
    <w:rsid w:val="006F6A31"/>
    <w:rsid w:val="0070145B"/>
    <w:rsid w:val="00704510"/>
    <w:rsid w:val="0070580D"/>
    <w:rsid w:val="00705DC2"/>
    <w:rsid w:val="0071095E"/>
    <w:rsid w:val="00714811"/>
    <w:rsid w:val="00714901"/>
    <w:rsid w:val="00717145"/>
    <w:rsid w:val="00720D58"/>
    <w:rsid w:val="00721153"/>
    <w:rsid w:val="00721473"/>
    <w:rsid w:val="007226E9"/>
    <w:rsid w:val="007232B7"/>
    <w:rsid w:val="00732A99"/>
    <w:rsid w:val="0073322F"/>
    <w:rsid w:val="0074452B"/>
    <w:rsid w:val="00747D57"/>
    <w:rsid w:val="00752213"/>
    <w:rsid w:val="00754457"/>
    <w:rsid w:val="00757885"/>
    <w:rsid w:val="00757F32"/>
    <w:rsid w:val="0076030C"/>
    <w:rsid w:val="00766B96"/>
    <w:rsid w:val="00766F93"/>
    <w:rsid w:val="0077380C"/>
    <w:rsid w:val="00795A19"/>
    <w:rsid w:val="007A4821"/>
    <w:rsid w:val="007A60CC"/>
    <w:rsid w:val="007B496D"/>
    <w:rsid w:val="007B7998"/>
    <w:rsid w:val="007C3747"/>
    <w:rsid w:val="007C494C"/>
    <w:rsid w:val="007C5532"/>
    <w:rsid w:val="007C7533"/>
    <w:rsid w:val="007D0E74"/>
    <w:rsid w:val="007D2446"/>
    <w:rsid w:val="007D2A7C"/>
    <w:rsid w:val="007D3722"/>
    <w:rsid w:val="007D61D2"/>
    <w:rsid w:val="007D62BD"/>
    <w:rsid w:val="007E0886"/>
    <w:rsid w:val="007E296D"/>
    <w:rsid w:val="007E464C"/>
    <w:rsid w:val="007E70E8"/>
    <w:rsid w:val="007F5DAC"/>
    <w:rsid w:val="008022E5"/>
    <w:rsid w:val="0080798A"/>
    <w:rsid w:val="008126C3"/>
    <w:rsid w:val="0081299E"/>
    <w:rsid w:val="00820750"/>
    <w:rsid w:val="00821B86"/>
    <w:rsid w:val="00821F1C"/>
    <w:rsid w:val="008267F9"/>
    <w:rsid w:val="008275A3"/>
    <w:rsid w:val="0083284F"/>
    <w:rsid w:val="008357C8"/>
    <w:rsid w:val="00844B7D"/>
    <w:rsid w:val="00845747"/>
    <w:rsid w:val="00845A14"/>
    <w:rsid w:val="0085323A"/>
    <w:rsid w:val="008577B0"/>
    <w:rsid w:val="00857817"/>
    <w:rsid w:val="00862256"/>
    <w:rsid w:val="00863565"/>
    <w:rsid w:val="00864F6B"/>
    <w:rsid w:val="0086520C"/>
    <w:rsid w:val="00865FF1"/>
    <w:rsid w:val="008671A6"/>
    <w:rsid w:val="00871C76"/>
    <w:rsid w:val="00885208"/>
    <w:rsid w:val="008905B0"/>
    <w:rsid w:val="00890FDB"/>
    <w:rsid w:val="0089130B"/>
    <w:rsid w:val="00896449"/>
    <w:rsid w:val="008B065C"/>
    <w:rsid w:val="008B6C58"/>
    <w:rsid w:val="008C4307"/>
    <w:rsid w:val="008D2244"/>
    <w:rsid w:val="008D3975"/>
    <w:rsid w:val="008D49CD"/>
    <w:rsid w:val="008E0E26"/>
    <w:rsid w:val="008F0A31"/>
    <w:rsid w:val="008F1105"/>
    <w:rsid w:val="008F3E61"/>
    <w:rsid w:val="00901A20"/>
    <w:rsid w:val="00903AF2"/>
    <w:rsid w:val="009105D6"/>
    <w:rsid w:val="00910E98"/>
    <w:rsid w:val="0091485C"/>
    <w:rsid w:val="00924706"/>
    <w:rsid w:val="00930587"/>
    <w:rsid w:val="009309EA"/>
    <w:rsid w:val="00933754"/>
    <w:rsid w:val="00941B38"/>
    <w:rsid w:val="00942458"/>
    <w:rsid w:val="00955D5B"/>
    <w:rsid w:val="00957449"/>
    <w:rsid w:val="009578B1"/>
    <w:rsid w:val="0096569F"/>
    <w:rsid w:val="0096675C"/>
    <w:rsid w:val="009675F0"/>
    <w:rsid w:val="00970961"/>
    <w:rsid w:val="009773B1"/>
    <w:rsid w:val="0098139F"/>
    <w:rsid w:val="0098448E"/>
    <w:rsid w:val="009868D0"/>
    <w:rsid w:val="009872A0"/>
    <w:rsid w:val="00991292"/>
    <w:rsid w:val="009954B7"/>
    <w:rsid w:val="009A097B"/>
    <w:rsid w:val="009A2289"/>
    <w:rsid w:val="009A3CF8"/>
    <w:rsid w:val="009B087E"/>
    <w:rsid w:val="009B1CD8"/>
    <w:rsid w:val="009B50FC"/>
    <w:rsid w:val="009B532D"/>
    <w:rsid w:val="009B7FDB"/>
    <w:rsid w:val="009C1759"/>
    <w:rsid w:val="009C2612"/>
    <w:rsid w:val="009C64BB"/>
    <w:rsid w:val="009C6841"/>
    <w:rsid w:val="009D2883"/>
    <w:rsid w:val="009D30D0"/>
    <w:rsid w:val="009D663C"/>
    <w:rsid w:val="009D7A03"/>
    <w:rsid w:val="009E102C"/>
    <w:rsid w:val="009E13D8"/>
    <w:rsid w:val="009E2689"/>
    <w:rsid w:val="009E56B6"/>
    <w:rsid w:val="009F26F7"/>
    <w:rsid w:val="009F45AA"/>
    <w:rsid w:val="009F5FE2"/>
    <w:rsid w:val="009F6E10"/>
    <w:rsid w:val="009F7190"/>
    <w:rsid w:val="00A07D60"/>
    <w:rsid w:val="00A11DB2"/>
    <w:rsid w:val="00A122E4"/>
    <w:rsid w:val="00A20416"/>
    <w:rsid w:val="00A22201"/>
    <w:rsid w:val="00A23295"/>
    <w:rsid w:val="00A24458"/>
    <w:rsid w:val="00A34160"/>
    <w:rsid w:val="00A3718E"/>
    <w:rsid w:val="00A409AD"/>
    <w:rsid w:val="00A42EA1"/>
    <w:rsid w:val="00A43DFF"/>
    <w:rsid w:val="00A44360"/>
    <w:rsid w:val="00A46600"/>
    <w:rsid w:val="00A46F5D"/>
    <w:rsid w:val="00A52677"/>
    <w:rsid w:val="00A603DB"/>
    <w:rsid w:val="00A60715"/>
    <w:rsid w:val="00A61D79"/>
    <w:rsid w:val="00A623B5"/>
    <w:rsid w:val="00A62749"/>
    <w:rsid w:val="00A62F34"/>
    <w:rsid w:val="00A7072E"/>
    <w:rsid w:val="00A71C08"/>
    <w:rsid w:val="00A73189"/>
    <w:rsid w:val="00A73232"/>
    <w:rsid w:val="00A73265"/>
    <w:rsid w:val="00A73802"/>
    <w:rsid w:val="00A74FD1"/>
    <w:rsid w:val="00A76AAB"/>
    <w:rsid w:val="00A77854"/>
    <w:rsid w:val="00A840EF"/>
    <w:rsid w:val="00A85192"/>
    <w:rsid w:val="00A857B5"/>
    <w:rsid w:val="00A91B03"/>
    <w:rsid w:val="00A96C3F"/>
    <w:rsid w:val="00AA61D3"/>
    <w:rsid w:val="00AB203C"/>
    <w:rsid w:val="00AC3CBA"/>
    <w:rsid w:val="00AC5436"/>
    <w:rsid w:val="00AC7724"/>
    <w:rsid w:val="00AD3F10"/>
    <w:rsid w:val="00AD44F9"/>
    <w:rsid w:val="00AE3B0E"/>
    <w:rsid w:val="00AE40D9"/>
    <w:rsid w:val="00AF0E82"/>
    <w:rsid w:val="00AF6326"/>
    <w:rsid w:val="00B01582"/>
    <w:rsid w:val="00B01955"/>
    <w:rsid w:val="00B047EB"/>
    <w:rsid w:val="00B07D96"/>
    <w:rsid w:val="00B17620"/>
    <w:rsid w:val="00B20A22"/>
    <w:rsid w:val="00B21133"/>
    <w:rsid w:val="00B24ADB"/>
    <w:rsid w:val="00B311F8"/>
    <w:rsid w:val="00B34BA1"/>
    <w:rsid w:val="00B4082A"/>
    <w:rsid w:val="00B423D0"/>
    <w:rsid w:val="00B425D0"/>
    <w:rsid w:val="00B42CF5"/>
    <w:rsid w:val="00B43C37"/>
    <w:rsid w:val="00B57F58"/>
    <w:rsid w:val="00B622DC"/>
    <w:rsid w:val="00B62646"/>
    <w:rsid w:val="00B6557E"/>
    <w:rsid w:val="00B6685B"/>
    <w:rsid w:val="00B66D71"/>
    <w:rsid w:val="00B7374B"/>
    <w:rsid w:val="00B76FC9"/>
    <w:rsid w:val="00B86453"/>
    <w:rsid w:val="00B86F18"/>
    <w:rsid w:val="00B92BDF"/>
    <w:rsid w:val="00B97F93"/>
    <w:rsid w:val="00BA12AC"/>
    <w:rsid w:val="00BB226F"/>
    <w:rsid w:val="00BB314C"/>
    <w:rsid w:val="00BC4B7D"/>
    <w:rsid w:val="00BD78F2"/>
    <w:rsid w:val="00BD7E3A"/>
    <w:rsid w:val="00BE1437"/>
    <w:rsid w:val="00BE1C0D"/>
    <w:rsid w:val="00BE1DE1"/>
    <w:rsid w:val="00C045BE"/>
    <w:rsid w:val="00C04688"/>
    <w:rsid w:val="00C06CB6"/>
    <w:rsid w:val="00C118F7"/>
    <w:rsid w:val="00C152AE"/>
    <w:rsid w:val="00C22810"/>
    <w:rsid w:val="00C250E6"/>
    <w:rsid w:val="00C25D66"/>
    <w:rsid w:val="00C401B1"/>
    <w:rsid w:val="00C40357"/>
    <w:rsid w:val="00C40CBB"/>
    <w:rsid w:val="00C44075"/>
    <w:rsid w:val="00C4522A"/>
    <w:rsid w:val="00C525D4"/>
    <w:rsid w:val="00C52940"/>
    <w:rsid w:val="00C72828"/>
    <w:rsid w:val="00C72D46"/>
    <w:rsid w:val="00C73AD1"/>
    <w:rsid w:val="00C803D8"/>
    <w:rsid w:val="00C8244B"/>
    <w:rsid w:val="00C82DBA"/>
    <w:rsid w:val="00C8501D"/>
    <w:rsid w:val="00C851F7"/>
    <w:rsid w:val="00C87033"/>
    <w:rsid w:val="00C911F2"/>
    <w:rsid w:val="00C915E3"/>
    <w:rsid w:val="00C9403F"/>
    <w:rsid w:val="00C97469"/>
    <w:rsid w:val="00C97BD8"/>
    <w:rsid w:val="00CC0157"/>
    <w:rsid w:val="00CC3B7D"/>
    <w:rsid w:val="00CD0D4A"/>
    <w:rsid w:val="00CD3E81"/>
    <w:rsid w:val="00CD5B34"/>
    <w:rsid w:val="00CE29EE"/>
    <w:rsid w:val="00CE3363"/>
    <w:rsid w:val="00CE3C97"/>
    <w:rsid w:val="00CE5849"/>
    <w:rsid w:val="00D031F8"/>
    <w:rsid w:val="00D06453"/>
    <w:rsid w:val="00D0758B"/>
    <w:rsid w:val="00D077B6"/>
    <w:rsid w:val="00D2275A"/>
    <w:rsid w:val="00D22C81"/>
    <w:rsid w:val="00D2330F"/>
    <w:rsid w:val="00D26078"/>
    <w:rsid w:val="00D26D45"/>
    <w:rsid w:val="00D27084"/>
    <w:rsid w:val="00D27F4D"/>
    <w:rsid w:val="00D31228"/>
    <w:rsid w:val="00D36944"/>
    <w:rsid w:val="00D417E1"/>
    <w:rsid w:val="00D440D9"/>
    <w:rsid w:val="00D47774"/>
    <w:rsid w:val="00D51C9A"/>
    <w:rsid w:val="00D525E3"/>
    <w:rsid w:val="00D54FE0"/>
    <w:rsid w:val="00D57884"/>
    <w:rsid w:val="00D60472"/>
    <w:rsid w:val="00D631A9"/>
    <w:rsid w:val="00D67A5B"/>
    <w:rsid w:val="00D67DA0"/>
    <w:rsid w:val="00D732BD"/>
    <w:rsid w:val="00D73F29"/>
    <w:rsid w:val="00D77CBA"/>
    <w:rsid w:val="00D844EC"/>
    <w:rsid w:val="00D860DE"/>
    <w:rsid w:val="00D8663C"/>
    <w:rsid w:val="00D92A21"/>
    <w:rsid w:val="00D93123"/>
    <w:rsid w:val="00DA0155"/>
    <w:rsid w:val="00DA0194"/>
    <w:rsid w:val="00DA0BAF"/>
    <w:rsid w:val="00DA1E8C"/>
    <w:rsid w:val="00DA49C3"/>
    <w:rsid w:val="00DA6746"/>
    <w:rsid w:val="00DD5F2B"/>
    <w:rsid w:val="00DD7536"/>
    <w:rsid w:val="00DE0298"/>
    <w:rsid w:val="00DE40BD"/>
    <w:rsid w:val="00DE69B8"/>
    <w:rsid w:val="00DF7BE4"/>
    <w:rsid w:val="00E01E95"/>
    <w:rsid w:val="00E24588"/>
    <w:rsid w:val="00E30C90"/>
    <w:rsid w:val="00E31738"/>
    <w:rsid w:val="00E36CC8"/>
    <w:rsid w:val="00E401CB"/>
    <w:rsid w:val="00E46568"/>
    <w:rsid w:val="00E50B3E"/>
    <w:rsid w:val="00E533E8"/>
    <w:rsid w:val="00E60461"/>
    <w:rsid w:val="00E62F00"/>
    <w:rsid w:val="00E70D53"/>
    <w:rsid w:val="00E74A82"/>
    <w:rsid w:val="00E74BC9"/>
    <w:rsid w:val="00E767EB"/>
    <w:rsid w:val="00E81221"/>
    <w:rsid w:val="00E8362A"/>
    <w:rsid w:val="00E83D39"/>
    <w:rsid w:val="00E843CA"/>
    <w:rsid w:val="00E867DD"/>
    <w:rsid w:val="00E92531"/>
    <w:rsid w:val="00E963C9"/>
    <w:rsid w:val="00E964D1"/>
    <w:rsid w:val="00E97A0A"/>
    <w:rsid w:val="00EA28DA"/>
    <w:rsid w:val="00EA658A"/>
    <w:rsid w:val="00EB08C7"/>
    <w:rsid w:val="00EB176B"/>
    <w:rsid w:val="00EB234D"/>
    <w:rsid w:val="00EB4F53"/>
    <w:rsid w:val="00EB60A4"/>
    <w:rsid w:val="00EB6240"/>
    <w:rsid w:val="00EB6D9F"/>
    <w:rsid w:val="00EC0BA3"/>
    <w:rsid w:val="00EC4E1A"/>
    <w:rsid w:val="00EC5E57"/>
    <w:rsid w:val="00ED21EC"/>
    <w:rsid w:val="00ED29EE"/>
    <w:rsid w:val="00ED2CD1"/>
    <w:rsid w:val="00ED4854"/>
    <w:rsid w:val="00EE5E7D"/>
    <w:rsid w:val="00EE6F49"/>
    <w:rsid w:val="00EE74A2"/>
    <w:rsid w:val="00EE75EF"/>
    <w:rsid w:val="00EF2C83"/>
    <w:rsid w:val="00EF2CB3"/>
    <w:rsid w:val="00EF39A8"/>
    <w:rsid w:val="00EF7E1F"/>
    <w:rsid w:val="00F005DC"/>
    <w:rsid w:val="00F01DD9"/>
    <w:rsid w:val="00F023BD"/>
    <w:rsid w:val="00F064B3"/>
    <w:rsid w:val="00F0743B"/>
    <w:rsid w:val="00F12B37"/>
    <w:rsid w:val="00F138E6"/>
    <w:rsid w:val="00F148CC"/>
    <w:rsid w:val="00F151B4"/>
    <w:rsid w:val="00F15A00"/>
    <w:rsid w:val="00F20C78"/>
    <w:rsid w:val="00F23BC8"/>
    <w:rsid w:val="00F2437C"/>
    <w:rsid w:val="00F35466"/>
    <w:rsid w:val="00F43500"/>
    <w:rsid w:val="00F4458D"/>
    <w:rsid w:val="00F470E0"/>
    <w:rsid w:val="00F50710"/>
    <w:rsid w:val="00F606E9"/>
    <w:rsid w:val="00F8341B"/>
    <w:rsid w:val="00F97B31"/>
    <w:rsid w:val="00FA28D9"/>
    <w:rsid w:val="00FB0CDB"/>
    <w:rsid w:val="00FB0E67"/>
    <w:rsid w:val="00FD34F1"/>
    <w:rsid w:val="00FD7649"/>
    <w:rsid w:val="00FE286E"/>
    <w:rsid w:val="00FE5B77"/>
    <w:rsid w:val="00FF21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1E5A2"/>
  <w15:chartTrackingRefBased/>
  <w15:docId w15:val="{D856460A-D961-4997-BBF8-B9F37A2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3">
    <w:name w:val="heading 3"/>
    <w:basedOn w:val="Standard"/>
    <w:next w:val="Standard"/>
    <w:link w:val="berschrift3Zchn"/>
    <w:uiPriority w:val="99"/>
    <w:semiHidden/>
    <w:qFormat/>
    <w:rsid w:val="006B728D"/>
    <w:pPr>
      <w:keepNext/>
      <w:keepLines/>
      <w:spacing w:before="40" w:after="80" w:line="240" w:lineRule="auto"/>
      <w:outlineLvl w:val="2"/>
    </w:pPr>
    <w:rPr>
      <w:rFonts w:asciiTheme="majorHAnsi" w:eastAsiaTheme="majorEastAsia" w:hAnsiTheme="majorHAnsi" w:cstheme="majorBidi"/>
      <w:b/>
      <w:i/>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2"/>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paragraph" w:styleId="Listenabsatz">
    <w:name w:val="List Paragraph"/>
    <w:basedOn w:val="Standard"/>
    <w:uiPriority w:val="34"/>
    <w:qFormat/>
    <w:rsid w:val="009B532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geEinleitungText">
    <w:name w:val="Frage Einleitung Text"/>
    <w:basedOn w:val="Standard"/>
    <w:uiPriority w:val="3"/>
    <w:qFormat/>
    <w:rsid w:val="00D440D9"/>
    <w:pPr>
      <w:spacing w:before="80" w:line="240" w:lineRule="auto"/>
      <w:ind w:left="794"/>
      <w:jc w:val="both"/>
    </w:pPr>
    <w:rPr>
      <w:rFonts w:asciiTheme="minorHAnsi" w:eastAsiaTheme="minorHAnsi" w:hAnsiTheme="minorHAnsi" w:cstheme="minorBidi"/>
      <w:i/>
      <w:sz w:val="20"/>
      <w:lang w:eastAsia="en-US"/>
    </w:rPr>
  </w:style>
  <w:style w:type="paragraph" w:customStyle="1" w:styleId="FrageNummer1">
    <w:name w:val="Frage Nummer 1)"/>
    <w:basedOn w:val="Standard"/>
    <w:uiPriority w:val="4"/>
    <w:qFormat/>
    <w:rsid w:val="005E2F3F"/>
    <w:pPr>
      <w:spacing w:before="240" w:line="240" w:lineRule="auto"/>
      <w:ind w:left="1588" w:hanging="1588"/>
      <w:jc w:val="both"/>
      <w:outlineLvl w:val="2"/>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unhideWhenUsed/>
    <w:rsid w:val="0047117F"/>
    <w:rPr>
      <w:sz w:val="16"/>
      <w:szCs w:val="16"/>
    </w:rPr>
  </w:style>
  <w:style w:type="paragraph" w:styleId="Kommentartext">
    <w:name w:val="annotation text"/>
    <w:basedOn w:val="Standard"/>
    <w:link w:val="KommentartextZchn"/>
    <w:uiPriority w:val="99"/>
    <w:unhideWhenUsed/>
    <w:rsid w:val="0047117F"/>
    <w:pPr>
      <w:spacing w:line="240" w:lineRule="auto"/>
    </w:pPr>
    <w:rPr>
      <w:sz w:val="20"/>
    </w:rPr>
  </w:style>
  <w:style w:type="character" w:customStyle="1" w:styleId="KommentartextZchn">
    <w:name w:val="Kommentartext Zchn"/>
    <w:basedOn w:val="Absatz-Standardschriftart"/>
    <w:link w:val="Kommentartext"/>
    <w:uiPriority w:val="99"/>
    <w:rsid w:val="0047117F"/>
    <w:rPr>
      <w:rFonts w:ascii="Arial" w:hAnsi="Arial"/>
    </w:rPr>
  </w:style>
  <w:style w:type="paragraph" w:styleId="Kommentarthema">
    <w:name w:val="annotation subject"/>
    <w:basedOn w:val="Kommentartext"/>
    <w:next w:val="Kommentartext"/>
    <w:link w:val="KommentarthemaZchn"/>
    <w:uiPriority w:val="99"/>
    <w:semiHidden/>
    <w:unhideWhenUsed/>
    <w:rsid w:val="0047117F"/>
    <w:rPr>
      <w:b/>
      <w:bCs/>
    </w:rPr>
  </w:style>
  <w:style w:type="character" w:customStyle="1" w:styleId="KommentarthemaZchn">
    <w:name w:val="Kommentarthema Zchn"/>
    <w:basedOn w:val="KommentartextZchn"/>
    <w:link w:val="Kommentarthema"/>
    <w:uiPriority w:val="99"/>
    <w:semiHidden/>
    <w:rsid w:val="0047117F"/>
    <w:rPr>
      <w:rFonts w:ascii="Arial" w:hAnsi="Arial"/>
      <w:b/>
      <w:bCs/>
    </w:rPr>
  </w:style>
  <w:style w:type="table" w:styleId="Tabellenraster">
    <w:name w:val="Table Grid"/>
    <w:basedOn w:val="NormaleTabelle"/>
    <w:uiPriority w:val="39"/>
    <w:rsid w:val="00955D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9"/>
    <w:semiHidden/>
    <w:rsid w:val="006B728D"/>
    <w:rPr>
      <w:rFonts w:asciiTheme="majorHAnsi" w:eastAsiaTheme="majorEastAsia" w:hAnsiTheme="majorHAnsi" w:cstheme="majorBidi"/>
      <w:b/>
      <w:i/>
      <w:lang w:eastAsia="en-US"/>
    </w:rPr>
  </w:style>
  <w:style w:type="character" w:styleId="Hyperlink">
    <w:name w:val="Hyperlink"/>
    <w:basedOn w:val="Absatz-Standardschriftart"/>
    <w:uiPriority w:val="99"/>
    <w:unhideWhenUsed/>
    <w:rsid w:val="00FD7649"/>
    <w:rPr>
      <w:color w:val="0563C1" w:themeColor="hyperlink"/>
      <w:u w:val="single"/>
    </w:rPr>
  </w:style>
  <w:style w:type="character" w:customStyle="1" w:styleId="UnresolvedMention">
    <w:name w:val="Unresolved Mention"/>
    <w:basedOn w:val="Absatz-Standardschriftart"/>
    <w:uiPriority w:val="99"/>
    <w:semiHidden/>
    <w:unhideWhenUsed/>
    <w:rsid w:val="00FD7649"/>
    <w:rPr>
      <w:color w:val="605E5C"/>
      <w:shd w:val="clear" w:color="auto" w:fill="E1DFDD"/>
    </w:rPr>
  </w:style>
  <w:style w:type="numbering" w:customStyle="1" w:styleId="zzzListeFrage1">
    <w:name w:val="zzz_Liste_Frage1"/>
    <w:basedOn w:val="KeineListe"/>
    <w:uiPriority w:val="99"/>
    <w:rsid w:val="000D6BE3"/>
  </w:style>
  <w:style w:type="paragraph" w:styleId="Funotentext">
    <w:name w:val="footnote text"/>
    <w:basedOn w:val="Standard"/>
    <w:link w:val="FunotentextZchn"/>
    <w:uiPriority w:val="99"/>
    <w:semiHidden/>
    <w:rsid w:val="00ED2CD1"/>
    <w:pPr>
      <w:spacing w:line="240" w:lineRule="auto"/>
    </w:pPr>
    <w:rPr>
      <w:rFonts w:eastAsia="Arial"/>
      <w:sz w:val="20"/>
      <w:lang w:eastAsia="en-US"/>
    </w:rPr>
  </w:style>
  <w:style w:type="character" w:customStyle="1" w:styleId="FunotentextZchn">
    <w:name w:val="Fußnotentext Zchn"/>
    <w:basedOn w:val="Absatz-Standardschriftart"/>
    <w:link w:val="Funotentext"/>
    <w:uiPriority w:val="99"/>
    <w:semiHidden/>
    <w:rsid w:val="00ED2CD1"/>
    <w:rPr>
      <w:rFonts w:ascii="Arial" w:eastAsia="Arial" w:hAnsi="Arial"/>
      <w:lang w:eastAsia="en-US"/>
    </w:rPr>
  </w:style>
  <w:style w:type="character" w:styleId="Funotenzeichen">
    <w:name w:val="footnote reference"/>
    <w:basedOn w:val="Absatz-Standardschriftart"/>
    <w:uiPriority w:val="99"/>
    <w:semiHidden/>
    <w:rsid w:val="00ED2CD1"/>
    <w:rPr>
      <w:vertAlign w:val="superscript"/>
    </w:rPr>
  </w:style>
  <w:style w:type="table" w:customStyle="1" w:styleId="Tabellenraster1">
    <w:name w:val="Tabellenraster1"/>
    <w:basedOn w:val="NormaleTabelle"/>
    <w:next w:val="Tabellenraster"/>
    <w:uiPriority w:val="39"/>
    <w:rsid w:val="00DE40BD"/>
    <w:pPr>
      <w:suppressAutoHyphens/>
    </w:pPr>
    <w:rPr>
      <w:rFonts w:ascii="Arial" w:eastAsia="Arial" w:hAnsi="Arial"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525E3"/>
    <w:rPr>
      <w:color w:val="954F72" w:themeColor="followedHyperlink"/>
      <w:u w:val="single"/>
    </w:rPr>
  </w:style>
  <w:style w:type="paragraph" w:customStyle="1" w:styleId="FrageVorbemerkung">
    <w:name w:val="Frage Vorbemerkung"/>
    <w:basedOn w:val="Standard"/>
    <w:next w:val="FrageNummer1"/>
    <w:uiPriority w:val="6"/>
    <w:qFormat/>
    <w:rsid w:val="00B97F93"/>
    <w:pPr>
      <w:numPr>
        <w:numId w:val="13"/>
      </w:numPr>
      <w:spacing w:before="240" w:line="240" w:lineRule="auto"/>
      <w:jc w:val="both"/>
      <w:outlineLvl w:val="2"/>
    </w:pPr>
    <w:rPr>
      <w:rFonts w:eastAsia="Arial"/>
      <w:i/>
      <w:sz w:val="20"/>
      <w:lang w:eastAsia="en-US"/>
    </w:rPr>
  </w:style>
  <w:style w:type="numbering" w:customStyle="1" w:styleId="zzzListeVorbemerkung">
    <w:name w:val="zzz_Liste_Vorbemerkung"/>
    <w:basedOn w:val="KeineListe"/>
    <w:uiPriority w:val="99"/>
    <w:rsid w:val="00B97F93"/>
    <w:pPr>
      <w:numPr>
        <w:numId w:val="14"/>
      </w:numPr>
    </w:pPr>
  </w:style>
  <w:style w:type="paragraph" w:customStyle="1" w:styleId="Frage-Vorbemerkung">
    <w:name w:val="Frage - Vorbemerkung"/>
    <w:basedOn w:val="Standard"/>
    <w:next w:val="Frage-Nummerierung1"/>
    <w:uiPriority w:val="6"/>
    <w:qFormat/>
    <w:rsid w:val="0058657B"/>
    <w:pPr>
      <w:spacing w:before="240" w:line="240" w:lineRule="auto"/>
      <w:ind w:left="1588" w:hanging="1588"/>
      <w:jc w:val="both"/>
      <w:outlineLvl w:val="2"/>
    </w:pPr>
    <w:rPr>
      <w:rFonts w:asciiTheme="minorHAnsi" w:eastAsiaTheme="minorHAnsi" w:hAnsiTheme="minorHAnsi" w:cstheme="minorBidi"/>
      <w:i/>
      <w:sz w:val="20"/>
      <w:lang w:eastAsia="en-US"/>
    </w:rPr>
  </w:style>
  <w:style w:type="paragraph" w:customStyle="1" w:styleId="Frage-Fortsetzung">
    <w:name w:val="Frage - Fortsetzung"/>
    <w:basedOn w:val="Standard"/>
    <w:uiPriority w:val="5"/>
    <w:qFormat/>
    <w:rsid w:val="0058657B"/>
    <w:pPr>
      <w:spacing w:before="80" w:line="240" w:lineRule="auto"/>
      <w:ind w:left="1588"/>
      <w:jc w:val="both"/>
      <w:outlineLvl w:val="2"/>
    </w:pPr>
    <w:rPr>
      <w:rFonts w:asciiTheme="minorHAnsi" w:eastAsiaTheme="minorHAnsi" w:hAnsiTheme="minorHAnsi" w:cstheme="minorBidi"/>
      <w:i/>
      <w:sz w:val="20"/>
      <w:lang w:eastAsia="en-US"/>
    </w:rPr>
  </w:style>
  <w:style w:type="table" w:customStyle="1" w:styleId="Tabellenraster2">
    <w:name w:val="Tabellenraster2"/>
    <w:basedOn w:val="NormaleTabelle"/>
    <w:next w:val="Tabellenraster"/>
    <w:uiPriority w:val="39"/>
    <w:rsid w:val="002A13A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Frage2">
    <w:name w:val="zzz_Liste_Frage2"/>
    <w:basedOn w:val="KeineListe"/>
    <w:uiPriority w:val="99"/>
    <w:rsid w:val="002A13AA"/>
  </w:style>
  <w:style w:type="table" w:customStyle="1" w:styleId="Tabellenraster3">
    <w:name w:val="Tabellenraster3"/>
    <w:basedOn w:val="NormaleTabelle"/>
    <w:next w:val="Tabellenraster"/>
    <w:uiPriority w:val="39"/>
    <w:rsid w:val="002A13A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Frage3">
    <w:name w:val="zzz_Liste_Frage3"/>
    <w:basedOn w:val="KeineListe"/>
    <w:uiPriority w:val="99"/>
    <w:rsid w:val="002A13AA"/>
  </w:style>
  <w:style w:type="table" w:customStyle="1" w:styleId="Tabellenraster4">
    <w:name w:val="Tabellenraster4"/>
    <w:basedOn w:val="NormaleTabelle"/>
    <w:next w:val="Tabellenraster"/>
    <w:uiPriority w:val="39"/>
    <w:rsid w:val="002A13A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2A13A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Frage4">
    <w:name w:val="zzz_Liste_Frage4"/>
    <w:basedOn w:val="KeineListe"/>
    <w:uiPriority w:val="99"/>
    <w:rsid w:val="002A13AA"/>
  </w:style>
  <w:style w:type="table" w:customStyle="1" w:styleId="Tabellenraster6">
    <w:name w:val="Tabellenraster6"/>
    <w:basedOn w:val="NormaleTabelle"/>
    <w:next w:val="Tabellenraster"/>
    <w:uiPriority w:val="39"/>
    <w:rsid w:val="003D163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563">
      <w:bodyDiv w:val="1"/>
      <w:marLeft w:val="0"/>
      <w:marRight w:val="0"/>
      <w:marTop w:val="0"/>
      <w:marBottom w:val="0"/>
      <w:divBdr>
        <w:top w:val="none" w:sz="0" w:space="0" w:color="auto"/>
        <w:left w:val="none" w:sz="0" w:space="0" w:color="auto"/>
        <w:bottom w:val="none" w:sz="0" w:space="0" w:color="auto"/>
        <w:right w:val="none" w:sz="0" w:space="0" w:color="auto"/>
      </w:divBdr>
    </w:div>
    <w:div w:id="82066383">
      <w:bodyDiv w:val="1"/>
      <w:marLeft w:val="0"/>
      <w:marRight w:val="0"/>
      <w:marTop w:val="0"/>
      <w:marBottom w:val="0"/>
      <w:divBdr>
        <w:top w:val="none" w:sz="0" w:space="0" w:color="auto"/>
        <w:left w:val="none" w:sz="0" w:space="0" w:color="auto"/>
        <w:bottom w:val="none" w:sz="0" w:space="0" w:color="auto"/>
        <w:right w:val="none" w:sz="0" w:space="0" w:color="auto"/>
      </w:divBdr>
    </w:div>
    <w:div w:id="254900767">
      <w:bodyDiv w:val="1"/>
      <w:marLeft w:val="0"/>
      <w:marRight w:val="0"/>
      <w:marTop w:val="0"/>
      <w:marBottom w:val="0"/>
      <w:divBdr>
        <w:top w:val="none" w:sz="0" w:space="0" w:color="auto"/>
        <w:left w:val="none" w:sz="0" w:space="0" w:color="auto"/>
        <w:bottom w:val="none" w:sz="0" w:space="0" w:color="auto"/>
        <w:right w:val="none" w:sz="0" w:space="0" w:color="auto"/>
      </w:divBdr>
    </w:div>
    <w:div w:id="306324803">
      <w:bodyDiv w:val="1"/>
      <w:marLeft w:val="0"/>
      <w:marRight w:val="0"/>
      <w:marTop w:val="0"/>
      <w:marBottom w:val="0"/>
      <w:divBdr>
        <w:top w:val="none" w:sz="0" w:space="0" w:color="auto"/>
        <w:left w:val="none" w:sz="0" w:space="0" w:color="auto"/>
        <w:bottom w:val="none" w:sz="0" w:space="0" w:color="auto"/>
        <w:right w:val="none" w:sz="0" w:space="0" w:color="auto"/>
      </w:divBdr>
    </w:div>
    <w:div w:id="352852049">
      <w:bodyDiv w:val="1"/>
      <w:marLeft w:val="0"/>
      <w:marRight w:val="0"/>
      <w:marTop w:val="0"/>
      <w:marBottom w:val="0"/>
      <w:divBdr>
        <w:top w:val="none" w:sz="0" w:space="0" w:color="auto"/>
        <w:left w:val="none" w:sz="0" w:space="0" w:color="auto"/>
        <w:bottom w:val="none" w:sz="0" w:space="0" w:color="auto"/>
        <w:right w:val="none" w:sz="0" w:space="0" w:color="auto"/>
      </w:divBdr>
    </w:div>
    <w:div w:id="394671476">
      <w:bodyDiv w:val="1"/>
      <w:marLeft w:val="0"/>
      <w:marRight w:val="0"/>
      <w:marTop w:val="0"/>
      <w:marBottom w:val="0"/>
      <w:divBdr>
        <w:top w:val="none" w:sz="0" w:space="0" w:color="auto"/>
        <w:left w:val="none" w:sz="0" w:space="0" w:color="auto"/>
        <w:bottom w:val="none" w:sz="0" w:space="0" w:color="auto"/>
        <w:right w:val="none" w:sz="0" w:space="0" w:color="auto"/>
      </w:divBdr>
    </w:div>
    <w:div w:id="424498435">
      <w:bodyDiv w:val="1"/>
      <w:marLeft w:val="0"/>
      <w:marRight w:val="0"/>
      <w:marTop w:val="0"/>
      <w:marBottom w:val="0"/>
      <w:divBdr>
        <w:top w:val="none" w:sz="0" w:space="0" w:color="auto"/>
        <w:left w:val="none" w:sz="0" w:space="0" w:color="auto"/>
        <w:bottom w:val="none" w:sz="0" w:space="0" w:color="auto"/>
        <w:right w:val="none" w:sz="0" w:space="0" w:color="auto"/>
      </w:divBdr>
    </w:div>
    <w:div w:id="463618054">
      <w:bodyDiv w:val="1"/>
      <w:marLeft w:val="0"/>
      <w:marRight w:val="0"/>
      <w:marTop w:val="0"/>
      <w:marBottom w:val="0"/>
      <w:divBdr>
        <w:top w:val="none" w:sz="0" w:space="0" w:color="auto"/>
        <w:left w:val="none" w:sz="0" w:space="0" w:color="auto"/>
        <w:bottom w:val="none" w:sz="0" w:space="0" w:color="auto"/>
        <w:right w:val="none" w:sz="0" w:space="0" w:color="auto"/>
      </w:divBdr>
    </w:div>
    <w:div w:id="595406716">
      <w:bodyDiv w:val="1"/>
      <w:marLeft w:val="0"/>
      <w:marRight w:val="0"/>
      <w:marTop w:val="0"/>
      <w:marBottom w:val="0"/>
      <w:divBdr>
        <w:top w:val="none" w:sz="0" w:space="0" w:color="auto"/>
        <w:left w:val="none" w:sz="0" w:space="0" w:color="auto"/>
        <w:bottom w:val="none" w:sz="0" w:space="0" w:color="auto"/>
        <w:right w:val="none" w:sz="0" w:space="0" w:color="auto"/>
      </w:divBdr>
    </w:div>
    <w:div w:id="624582345">
      <w:bodyDiv w:val="1"/>
      <w:marLeft w:val="0"/>
      <w:marRight w:val="0"/>
      <w:marTop w:val="0"/>
      <w:marBottom w:val="0"/>
      <w:divBdr>
        <w:top w:val="none" w:sz="0" w:space="0" w:color="auto"/>
        <w:left w:val="none" w:sz="0" w:space="0" w:color="auto"/>
        <w:bottom w:val="none" w:sz="0" w:space="0" w:color="auto"/>
        <w:right w:val="none" w:sz="0" w:space="0" w:color="auto"/>
      </w:divBdr>
    </w:div>
    <w:div w:id="642808374">
      <w:bodyDiv w:val="1"/>
      <w:marLeft w:val="0"/>
      <w:marRight w:val="0"/>
      <w:marTop w:val="0"/>
      <w:marBottom w:val="0"/>
      <w:divBdr>
        <w:top w:val="none" w:sz="0" w:space="0" w:color="auto"/>
        <w:left w:val="none" w:sz="0" w:space="0" w:color="auto"/>
        <w:bottom w:val="none" w:sz="0" w:space="0" w:color="auto"/>
        <w:right w:val="none" w:sz="0" w:space="0" w:color="auto"/>
      </w:divBdr>
    </w:div>
    <w:div w:id="710959574">
      <w:bodyDiv w:val="1"/>
      <w:marLeft w:val="0"/>
      <w:marRight w:val="0"/>
      <w:marTop w:val="0"/>
      <w:marBottom w:val="0"/>
      <w:divBdr>
        <w:top w:val="none" w:sz="0" w:space="0" w:color="auto"/>
        <w:left w:val="none" w:sz="0" w:space="0" w:color="auto"/>
        <w:bottom w:val="none" w:sz="0" w:space="0" w:color="auto"/>
        <w:right w:val="none" w:sz="0" w:space="0" w:color="auto"/>
      </w:divBdr>
    </w:div>
    <w:div w:id="874781007">
      <w:bodyDiv w:val="1"/>
      <w:marLeft w:val="0"/>
      <w:marRight w:val="0"/>
      <w:marTop w:val="0"/>
      <w:marBottom w:val="0"/>
      <w:divBdr>
        <w:top w:val="none" w:sz="0" w:space="0" w:color="auto"/>
        <w:left w:val="none" w:sz="0" w:space="0" w:color="auto"/>
        <w:bottom w:val="none" w:sz="0" w:space="0" w:color="auto"/>
        <w:right w:val="none" w:sz="0" w:space="0" w:color="auto"/>
      </w:divBdr>
    </w:div>
    <w:div w:id="942570484">
      <w:bodyDiv w:val="1"/>
      <w:marLeft w:val="0"/>
      <w:marRight w:val="0"/>
      <w:marTop w:val="0"/>
      <w:marBottom w:val="0"/>
      <w:divBdr>
        <w:top w:val="none" w:sz="0" w:space="0" w:color="auto"/>
        <w:left w:val="none" w:sz="0" w:space="0" w:color="auto"/>
        <w:bottom w:val="none" w:sz="0" w:space="0" w:color="auto"/>
        <w:right w:val="none" w:sz="0" w:space="0" w:color="auto"/>
      </w:divBdr>
    </w:div>
    <w:div w:id="1059087612">
      <w:bodyDiv w:val="1"/>
      <w:marLeft w:val="0"/>
      <w:marRight w:val="0"/>
      <w:marTop w:val="0"/>
      <w:marBottom w:val="0"/>
      <w:divBdr>
        <w:top w:val="none" w:sz="0" w:space="0" w:color="auto"/>
        <w:left w:val="none" w:sz="0" w:space="0" w:color="auto"/>
        <w:bottom w:val="none" w:sz="0" w:space="0" w:color="auto"/>
        <w:right w:val="none" w:sz="0" w:space="0" w:color="auto"/>
      </w:divBdr>
    </w:div>
    <w:div w:id="1184435269">
      <w:bodyDiv w:val="1"/>
      <w:marLeft w:val="0"/>
      <w:marRight w:val="0"/>
      <w:marTop w:val="0"/>
      <w:marBottom w:val="0"/>
      <w:divBdr>
        <w:top w:val="none" w:sz="0" w:space="0" w:color="auto"/>
        <w:left w:val="none" w:sz="0" w:space="0" w:color="auto"/>
        <w:bottom w:val="none" w:sz="0" w:space="0" w:color="auto"/>
        <w:right w:val="none" w:sz="0" w:space="0" w:color="auto"/>
      </w:divBdr>
    </w:div>
    <w:div w:id="1249927043">
      <w:bodyDiv w:val="1"/>
      <w:marLeft w:val="0"/>
      <w:marRight w:val="0"/>
      <w:marTop w:val="0"/>
      <w:marBottom w:val="0"/>
      <w:divBdr>
        <w:top w:val="none" w:sz="0" w:space="0" w:color="auto"/>
        <w:left w:val="none" w:sz="0" w:space="0" w:color="auto"/>
        <w:bottom w:val="none" w:sz="0" w:space="0" w:color="auto"/>
        <w:right w:val="none" w:sz="0" w:space="0" w:color="auto"/>
      </w:divBdr>
    </w:div>
    <w:div w:id="1276601680">
      <w:bodyDiv w:val="1"/>
      <w:marLeft w:val="0"/>
      <w:marRight w:val="0"/>
      <w:marTop w:val="0"/>
      <w:marBottom w:val="0"/>
      <w:divBdr>
        <w:top w:val="none" w:sz="0" w:space="0" w:color="auto"/>
        <w:left w:val="none" w:sz="0" w:space="0" w:color="auto"/>
        <w:bottom w:val="none" w:sz="0" w:space="0" w:color="auto"/>
        <w:right w:val="none" w:sz="0" w:space="0" w:color="auto"/>
      </w:divBdr>
    </w:div>
    <w:div w:id="1299602904">
      <w:bodyDiv w:val="1"/>
      <w:marLeft w:val="0"/>
      <w:marRight w:val="0"/>
      <w:marTop w:val="0"/>
      <w:marBottom w:val="0"/>
      <w:divBdr>
        <w:top w:val="none" w:sz="0" w:space="0" w:color="auto"/>
        <w:left w:val="none" w:sz="0" w:space="0" w:color="auto"/>
        <w:bottom w:val="none" w:sz="0" w:space="0" w:color="auto"/>
        <w:right w:val="none" w:sz="0" w:space="0" w:color="auto"/>
      </w:divBdr>
    </w:div>
    <w:div w:id="1403327924">
      <w:bodyDiv w:val="1"/>
      <w:marLeft w:val="0"/>
      <w:marRight w:val="0"/>
      <w:marTop w:val="0"/>
      <w:marBottom w:val="0"/>
      <w:divBdr>
        <w:top w:val="none" w:sz="0" w:space="0" w:color="auto"/>
        <w:left w:val="none" w:sz="0" w:space="0" w:color="auto"/>
        <w:bottom w:val="none" w:sz="0" w:space="0" w:color="auto"/>
        <w:right w:val="none" w:sz="0" w:space="0" w:color="auto"/>
      </w:divBdr>
    </w:div>
    <w:div w:id="1666321094">
      <w:bodyDiv w:val="1"/>
      <w:marLeft w:val="0"/>
      <w:marRight w:val="0"/>
      <w:marTop w:val="0"/>
      <w:marBottom w:val="0"/>
      <w:divBdr>
        <w:top w:val="none" w:sz="0" w:space="0" w:color="auto"/>
        <w:left w:val="none" w:sz="0" w:space="0" w:color="auto"/>
        <w:bottom w:val="none" w:sz="0" w:space="0" w:color="auto"/>
        <w:right w:val="none" w:sz="0" w:space="0" w:color="auto"/>
      </w:divBdr>
    </w:div>
    <w:div w:id="1804157392">
      <w:bodyDiv w:val="1"/>
      <w:marLeft w:val="0"/>
      <w:marRight w:val="0"/>
      <w:marTop w:val="0"/>
      <w:marBottom w:val="0"/>
      <w:divBdr>
        <w:top w:val="none" w:sz="0" w:space="0" w:color="auto"/>
        <w:left w:val="none" w:sz="0" w:space="0" w:color="auto"/>
        <w:bottom w:val="none" w:sz="0" w:space="0" w:color="auto"/>
        <w:right w:val="none" w:sz="0" w:space="0" w:color="auto"/>
      </w:divBdr>
    </w:div>
    <w:div w:id="1813205098">
      <w:bodyDiv w:val="1"/>
      <w:marLeft w:val="0"/>
      <w:marRight w:val="0"/>
      <w:marTop w:val="0"/>
      <w:marBottom w:val="0"/>
      <w:divBdr>
        <w:top w:val="none" w:sz="0" w:space="0" w:color="auto"/>
        <w:left w:val="none" w:sz="0" w:space="0" w:color="auto"/>
        <w:bottom w:val="none" w:sz="0" w:space="0" w:color="auto"/>
        <w:right w:val="none" w:sz="0" w:space="0" w:color="auto"/>
      </w:divBdr>
    </w:div>
    <w:div w:id="1898473042">
      <w:bodyDiv w:val="1"/>
      <w:marLeft w:val="0"/>
      <w:marRight w:val="0"/>
      <w:marTop w:val="0"/>
      <w:marBottom w:val="0"/>
      <w:divBdr>
        <w:top w:val="none" w:sz="0" w:space="0" w:color="auto"/>
        <w:left w:val="none" w:sz="0" w:space="0" w:color="auto"/>
        <w:bottom w:val="none" w:sz="0" w:space="0" w:color="auto"/>
        <w:right w:val="none" w:sz="0" w:space="0" w:color="auto"/>
      </w:divBdr>
    </w:div>
    <w:div w:id="1934312024">
      <w:bodyDiv w:val="1"/>
      <w:marLeft w:val="0"/>
      <w:marRight w:val="0"/>
      <w:marTop w:val="0"/>
      <w:marBottom w:val="0"/>
      <w:divBdr>
        <w:top w:val="none" w:sz="0" w:space="0" w:color="auto"/>
        <w:left w:val="none" w:sz="0" w:space="0" w:color="auto"/>
        <w:bottom w:val="none" w:sz="0" w:space="0" w:color="auto"/>
        <w:right w:val="none" w:sz="0" w:space="0" w:color="auto"/>
      </w:divBdr>
    </w:div>
    <w:div w:id="1961953110">
      <w:bodyDiv w:val="1"/>
      <w:marLeft w:val="0"/>
      <w:marRight w:val="0"/>
      <w:marTop w:val="0"/>
      <w:marBottom w:val="0"/>
      <w:divBdr>
        <w:top w:val="none" w:sz="0" w:space="0" w:color="auto"/>
        <w:left w:val="none" w:sz="0" w:space="0" w:color="auto"/>
        <w:bottom w:val="none" w:sz="0" w:space="0" w:color="auto"/>
        <w:right w:val="none" w:sz="0" w:space="0" w:color="auto"/>
      </w:divBdr>
    </w:div>
    <w:div w:id="2005624916">
      <w:bodyDiv w:val="1"/>
      <w:marLeft w:val="0"/>
      <w:marRight w:val="0"/>
      <w:marTop w:val="0"/>
      <w:marBottom w:val="0"/>
      <w:divBdr>
        <w:top w:val="none" w:sz="0" w:space="0" w:color="auto"/>
        <w:left w:val="none" w:sz="0" w:space="0" w:color="auto"/>
        <w:bottom w:val="none" w:sz="0" w:space="0" w:color="auto"/>
        <w:right w:val="none" w:sz="0" w:space="0" w:color="auto"/>
      </w:divBdr>
    </w:div>
    <w:div w:id="20155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F17E-17F5-4712-BC31-BB0D9A98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4</Pages>
  <Words>1447</Words>
  <Characters>9121</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Craß, Miriam</cp:lastModifiedBy>
  <cp:revision>2</cp:revision>
  <cp:lastPrinted>2011-05-25T12:29:00Z</cp:lastPrinted>
  <dcterms:created xsi:type="dcterms:W3CDTF">2023-09-14T07:58:00Z</dcterms:created>
  <dcterms:modified xsi:type="dcterms:W3CDTF">2023-09-14T07:58:00Z</dcterms:modified>
</cp:coreProperties>
</file>