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1C007" w14:textId="18D080CB" w:rsidR="00AD44F9" w:rsidRPr="007C3747" w:rsidRDefault="008061E5" w:rsidP="008061E5">
      <w:pPr>
        <w:widowControl w:val="0"/>
        <w:spacing w:line="240" w:lineRule="auto"/>
        <w:jc w:val="right"/>
        <w:rPr>
          <w:sz w:val="22"/>
          <w:szCs w:val="22"/>
        </w:rPr>
      </w:pPr>
      <w:bookmarkStart w:id="0" w:name="_GoBack"/>
      <w:bookmarkEnd w:id="0"/>
      <w:r>
        <w:rPr>
          <w:sz w:val="22"/>
          <w:szCs w:val="22"/>
        </w:rPr>
        <w:t>23. Januar 2024</w:t>
      </w:r>
    </w:p>
    <w:p w14:paraId="5AB5788C" w14:textId="11E9AC43" w:rsidR="00862256" w:rsidRDefault="00862256" w:rsidP="00CF107E">
      <w:pPr>
        <w:widowControl w:val="0"/>
        <w:autoSpaceDE w:val="0"/>
        <w:autoSpaceDN w:val="0"/>
        <w:adjustRightInd w:val="0"/>
        <w:spacing w:line="240" w:lineRule="auto"/>
        <w:jc w:val="center"/>
        <w:rPr>
          <w:rFonts w:cs="Arial"/>
          <w:b/>
          <w:bCs/>
          <w:color w:val="000000"/>
          <w:szCs w:val="24"/>
        </w:rPr>
      </w:pPr>
    </w:p>
    <w:p w14:paraId="4C8248E0" w14:textId="77777777" w:rsidR="008061E5" w:rsidRPr="00CF107E" w:rsidRDefault="008061E5" w:rsidP="00CF107E">
      <w:pPr>
        <w:widowControl w:val="0"/>
        <w:autoSpaceDE w:val="0"/>
        <w:autoSpaceDN w:val="0"/>
        <w:adjustRightInd w:val="0"/>
        <w:spacing w:line="240" w:lineRule="auto"/>
        <w:jc w:val="center"/>
        <w:rPr>
          <w:rFonts w:cs="Arial"/>
          <w:b/>
          <w:bCs/>
          <w:color w:val="000000"/>
          <w:szCs w:val="24"/>
        </w:rPr>
      </w:pPr>
    </w:p>
    <w:p w14:paraId="7EDE8126" w14:textId="77777777" w:rsidR="00862256" w:rsidRPr="00B86453" w:rsidRDefault="00862256" w:rsidP="00CF107E">
      <w:pPr>
        <w:widowControl w:val="0"/>
        <w:spacing w:line="240" w:lineRule="auto"/>
        <w:jc w:val="center"/>
        <w:rPr>
          <w:b/>
          <w:sz w:val="36"/>
          <w:szCs w:val="36"/>
        </w:rPr>
      </w:pPr>
      <w:r w:rsidRPr="00862256">
        <w:rPr>
          <w:rFonts w:cs="Arial"/>
          <w:szCs w:val="24"/>
        </w:rPr>
        <w:t xml:space="preserve"> </w:t>
      </w:r>
      <w:r w:rsidRPr="00B86453">
        <w:rPr>
          <w:b/>
          <w:sz w:val="36"/>
          <w:szCs w:val="36"/>
        </w:rPr>
        <w:t>Schriftliche Kleine Anfrage</w:t>
      </w:r>
    </w:p>
    <w:p w14:paraId="76F6746A" w14:textId="13984D08" w:rsidR="000E1970" w:rsidRPr="000E1970" w:rsidRDefault="00A0254A" w:rsidP="00CF107E">
      <w:pPr>
        <w:widowControl w:val="0"/>
        <w:autoSpaceDE w:val="0"/>
        <w:autoSpaceDN w:val="0"/>
        <w:adjustRightInd w:val="0"/>
        <w:spacing w:line="240" w:lineRule="auto"/>
        <w:jc w:val="center"/>
        <w:rPr>
          <w:b/>
          <w:sz w:val="20"/>
        </w:rPr>
      </w:pPr>
      <w:r w:rsidRPr="00A0254A">
        <w:rPr>
          <w:b/>
          <w:sz w:val="20"/>
        </w:rPr>
        <w:br/>
      </w:r>
      <w:r w:rsidR="000E1970" w:rsidRPr="000E1970">
        <w:rPr>
          <w:b/>
          <w:sz w:val="20"/>
        </w:rPr>
        <w:t>der Abgeordneten Olga Fritzsche und Stephan Jersch (DIE LINKE) vom 15.01.</w:t>
      </w:r>
      <w:r w:rsidR="000E1970">
        <w:rPr>
          <w:b/>
          <w:sz w:val="20"/>
        </w:rPr>
        <w:t>20</w:t>
      </w:r>
      <w:r w:rsidR="000E1970" w:rsidRPr="000E1970">
        <w:rPr>
          <w:b/>
          <w:sz w:val="20"/>
        </w:rPr>
        <w:t>24</w:t>
      </w:r>
    </w:p>
    <w:p w14:paraId="5A5BF8A4" w14:textId="336B471B" w:rsidR="00AD44F9" w:rsidRDefault="00862256" w:rsidP="00CF107E">
      <w:pPr>
        <w:widowControl w:val="0"/>
        <w:autoSpaceDE w:val="0"/>
        <w:autoSpaceDN w:val="0"/>
        <w:adjustRightInd w:val="0"/>
        <w:spacing w:before="240" w:line="240" w:lineRule="auto"/>
        <w:jc w:val="center"/>
        <w:rPr>
          <w:rFonts w:cs="Arial"/>
          <w:b/>
          <w:bCs/>
          <w:color w:val="000000"/>
          <w:sz w:val="36"/>
          <w:szCs w:val="36"/>
        </w:rPr>
      </w:pPr>
      <w:r w:rsidRPr="00862256">
        <w:rPr>
          <w:rFonts w:cs="Arial"/>
          <w:b/>
          <w:bCs/>
          <w:color w:val="000000"/>
          <w:sz w:val="20"/>
        </w:rPr>
        <w:t xml:space="preserve">und </w:t>
      </w:r>
      <w:r w:rsidRPr="00862256">
        <w:rPr>
          <w:rFonts w:cs="Arial"/>
          <w:b/>
          <w:bCs/>
          <w:color w:val="000000"/>
          <w:sz w:val="36"/>
          <w:szCs w:val="36"/>
        </w:rPr>
        <w:t>Antwort des Senats</w:t>
      </w:r>
    </w:p>
    <w:p w14:paraId="69532775" w14:textId="51B4BBF6" w:rsidR="00AD44F9" w:rsidRPr="00385322" w:rsidRDefault="00862256" w:rsidP="00CF107E">
      <w:pPr>
        <w:widowControl w:val="0"/>
        <w:autoSpaceDE w:val="0"/>
        <w:autoSpaceDN w:val="0"/>
        <w:adjustRightInd w:val="0"/>
        <w:spacing w:before="240" w:line="240" w:lineRule="auto"/>
        <w:jc w:val="center"/>
        <w:rPr>
          <w:b/>
          <w:sz w:val="28"/>
          <w:szCs w:val="28"/>
        </w:rPr>
      </w:pPr>
      <w:r>
        <w:rPr>
          <w:b/>
          <w:sz w:val="28"/>
          <w:szCs w:val="28"/>
        </w:rPr>
        <w:t>- Drucksache 2</w:t>
      </w:r>
      <w:r w:rsidR="009E56B6">
        <w:rPr>
          <w:b/>
          <w:sz w:val="28"/>
          <w:szCs w:val="28"/>
        </w:rPr>
        <w:t>2</w:t>
      </w:r>
      <w:r>
        <w:rPr>
          <w:b/>
          <w:sz w:val="28"/>
          <w:szCs w:val="28"/>
        </w:rPr>
        <w:t>/</w:t>
      </w:r>
      <w:r w:rsidR="00657703">
        <w:rPr>
          <w:b/>
          <w:sz w:val="28"/>
          <w:szCs w:val="28"/>
        </w:rPr>
        <w:t>1</w:t>
      </w:r>
      <w:r w:rsidR="00624CF8">
        <w:rPr>
          <w:b/>
          <w:sz w:val="28"/>
          <w:szCs w:val="28"/>
        </w:rPr>
        <w:t>40</w:t>
      </w:r>
      <w:r w:rsidR="00A2020A">
        <w:rPr>
          <w:b/>
          <w:sz w:val="28"/>
          <w:szCs w:val="28"/>
        </w:rPr>
        <w:t>6</w:t>
      </w:r>
      <w:r w:rsidR="000E1970">
        <w:rPr>
          <w:b/>
          <w:sz w:val="28"/>
          <w:szCs w:val="28"/>
        </w:rPr>
        <w:t>5</w:t>
      </w:r>
      <w:r>
        <w:rPr>
          <w:b/>
          <w:sz w:val="28"/>
          <w:szCs w:val="28"/>
        </w:rPr>
        <w:t xml:space="preserve"> -</w:t>
      </w:r>
    </w:p>
    <w:p w14:paraId="34AAA426" w14:textId="2E21F00B" w:rsidR="00311F38" w:rsidRDefault="003E2E94" w:rsidP="00CF107E">
      <w:pPr>
        <w:pStyle w:val="Titel-Betreff"/>
        <w:widowControl w:val="0"/>
      </w:pPr>
      <w:r w:rsidRPr="00296607">
        <w:t>Betr.:</w:t>
      </w:r>
      <w:r w:rsidRPr="00296607">
        <w:tab/>
      </w:r>
      <w:r w:rsidR="000E1970" w:rsidRPr="000E1970">
        <w:t>Vermeidung von Energiesperren: Wirkt der Härtefallfonds? (III)</w:t>
      </w:r>
    </w:p>
    <w:p w14:paraId="3E580001" w14:textId="20F3665C" w:rsidR="009E56B6" w:rsidRPr="00311F38" w:rsidRDefault="009E56B6" w:rsidP="00CF107E">
      <w:pPr>
        <w:pStyle w:val="Titel-Betreff"/>
        <w:widowControl w:val="0"/>
        <w:spacing w:before="0"/>
      </w:pPr>
      <w:r w:rsidRPr="00DA0BAF">
        <w:rPr>
          <w:rFonts w:cs="Arial"/>
          <w:i/>
        </w:rPr>
        <w:t>Einleitung für die Fragen:</w:t>
      </w:r>
    </w:p>
    <w:p w14:paraId="05B89FAE" w14:textId="6F41F57C" w:rsidR="000E1970" w:rsidRPr="000E1970" w:rsidRDefault="000E1970" w:rsidP="00CF107E">
      <w:pPr>
        <w:widowControl w:val="0"/>
        <w:spacing w:before="80" w:line="240" w:lineRule="auto"/>
        <w:ind w:left="851"/>
        <w:jc w:val="both"/>
        <w:rPr>
          <w:rFonts w:eastAsia="Arial"/>
          <w:i/>
          <w:sz w:val="20"/>
          <w:lang w:eastAsia="en-US"/>
        </w:rPr>
      </w:pPr>
      <w:r w:rsidRPr="000E1970">
        <w:rPr>
          <w:rFonts w:eastAsia="Arial"/>
          <w:i/>
          <w:sz w:val="20"/>
          <w:lang w:eastAsia="en-US"/>
        </w:rPr>
        <w:t>Die stark gestiegenen Energiekosten bringen insbesondere Haushalte mit geringem Einkommen an ihre finanziellen Belastungsgrenzen und drohen Energiearmut zu verschärfen. Vor diesem Hintergrund hat der Senat einen Härtefallfonds für Energieschuldner*innen eingerichtet, denen eine Sperre droht und bei denen die sozialen Sicherungssysteme nicht greifen. Zwischen Dezember 2022 und September 2023 wurden diese Hilfen lediglich 20-mal in Anspruch genommen. Darüber hinaus wurde bei dem Stromgrundversorger Vattenfall eine Ämtertelefonie eingerichtet, um zum Beispiel überlange Ratenzahlungen oder Moratorien zu vereinbaren.</w:t>
      </w:r>
    </w:p>
    <w:p w14:paraId="036ABD80" w14:textId="5CFA0FD1" w:rsidR="0024498A" w:rsidRDefault="000E1970" w:rsidP="00CF107E">
      <w:pPr>
        <w:widowControl w:val="0"/>
        <w:spacing w:before="80" w:line="240" w:lineRule="auto"/>
        <w:ind w:left="851"/>
        <w:jc w:val="both"/>
        <w:rPr>
          <w:rFonts w:eastAsia="Arial"/>
          <w:i/>
          <w:sz w:val="20"/>
          <w:lang w:eastAsia="en-US"/>
        </w:rPr>
      </w:pPr>
      <w:r w:rsidRPr="000E1970">
        <w:rPr>
          <w:rFonts w:eastAsia="Arial"/>
          <w:i/>
          <w:sz w:val="20"/>
          <w:lang w:eastAsia="en-US"/>
        </w:rPr>
        <w:t>Wir fragen den Senat</w:t>
      </w:r>
      <w:r>
        <w:rPr>
          <w:rFonts w:eastAsia="Arial"/>
          <w:i/>
          <w:sz w:val="20"/>
          <w:lang w:eastAsia="en-US"/>
        </w:rPr>
        <w:t>:</w:t>
      </w:r>
    </w:p>
    <w:p w14:paraId="25950FC2" w14:textId="77777777" w:rsidR="003421CD" w:rsidRDefault="003421CD" w:rsidP="00CF107E">
      <w:pPr>
        <w:widowControl w:val="0"/>
        <w:spacing w:line="240" w:lineRule="auto"/>
        <w:jc w:val="both"/>
        <w:rPr>
          <w:rFonts w:eastAsia="Arial"/>
          <w:i/>
          <w:sz w:val="20"/>
          <w:lang w:eastAsia="en-US"/>
        </w:rPr>
      </w:pPr>
    </w:p>
    <w:p w14:paraId="4C89CBA9" w14:textId="1B1C3E77" w:rsidR="00D9696A" w:rsidRPr="00D9696A" w:rsidRDefault="00D9696A" w:rsidP="00CF107E">
      <w:pPr>
        <w:widowControl w:val="0"/>
        <w:spacing w:line="240" w:lineRule="auto"/>
        <w:jc w:val="both"/>
        <w:rPr>
          <w:rFonts w:eastAsia="Arial"/>
          <w:sz w:val="20"/>
          <w:lang w:eastAsia="en-US"/>
        </w:rPr>
      </w:pPr>
      <w:r w:rsidRPr="00D9696A">
        <w:rPr>
          <w:rFonts w:eastAsia="Arial"/>
          <w:sz w:val="20"/>
          <w:lang w:eastAsia="en-US"/>
        </w:rPr>
        <w:t>Der Senat beantwortet die Fragen</w:t>
      </w:r>
      <w:r>
        <w:rPr>
          <w:rFonts w:eastAsia="Arial"/>
          <w:sz w:val="20"/>
          <w:lang w:eastAsia="en-US"/>
        </w:rPr>
        <w:t xml:space="preserve"> </w:t>
      </w:r>
      <w:r w:rsidRPr="00D9696A">
        <w:rPr>
          <w:rFonts w:eastAsia="Arial"/>
          <w:sz w:val="20"/>
          <w:lang w:eastAsia="en-US"/>
        </w:rPr>
        <w:t xml:space="preserve">teilweise auf Grundlage von Auskünften der Strom- und Gasnetzbetreiber, der Hamburger Energiewerke GmbH, der Strom- und Gasgrundversorger, </w:t>
      </w:r>
      <w:r>
        <w:rPr>
          <w:rFonts w:eastAsia="Arial"/>
          <w:sz w:val="20"/>
          <w:lang w:eastAsia="en-US"/>
        </w:rPr>
        <w:t>von HAMBURG WASSER</w:t>
      </w:r>
      <w:r w:rsidRPr="00D9696A">
        <w:rPr>
          <w:rFonts w:eastAsia="Arial"/>
          <w:sz w:val="20"/>
          <w:lang w:eastAsia="en-US"/>
        </w:rPr>
        <w:t>, des Caritasverbands, der öffentlich geförderten Schuldnerberatungsstellen und der Verbraucherzentrale Hamburg</w:t>
      </w:r>
      <w:r>
        <w:rPr>
          <w:rFonts w:eastAsia="Arial"/>
          <w:sz w:val="20"/>
          <w:lang w:eastAsia="en-US"/>
        </w:rPr>
        <w:t xml:space="preserve"> (VZHH) </w:t>
      </w:r>
      <w:r w:rsidRPr="00D9696A">
        <w:rPr>
          <w:rFonts w:eastAsia="Arial"/>
          <w:sz w:val="20"/>
          <w:lang w:eastAsia="en-US"/>
        </w:rPr>
        <w:t>wie folgt:</w:t>
      </w:r>
    </w:p>
    <w:p w14:paraId="7380BA49" w14:textId="77777777" w:rsidR="00A2020A" w:rsidRPr="00A2020A" w:rsidRDefault="00A2020A" w:rsidP="00CF107E">
      <w:pPr>
        <w:pStyle w:val="Frage-Nummerierung1"/>
        <w:widowControl w:val="0"/>
        <w:numPr>
          <w:ilvl w:val="0"/>
          <w:numId w:val="0"/>
        </w:numPr>
        <w:spacing w:before="0"/>
      </w:pPr>
    </w:p>
    <w:p w14:paraId="4EA1B22C" w14:textId="186EE189" w:rsidR="007E7FCC" w:rsidRDefault="007E7FCC" w:rsidP="00CF107E">
      <w:pPr>
        <w:pStyle w:val="Frage-Nummerierung1"/>
        <w:widowControl w:val="0"/>
        <w:spacing w:before="0"/>
        <w:ind w:left="1701" w:hanging="1701"/>
      </w:pPr>
      <w:r w:rsidRPr="007E7FCC">
        <w:t>Wie vielen Privathaushalten in Hamburg wurde im 3. und 4. Quartal 2023 die Stromversorgung gesperrt? Bitte quartalsweise angeben.</w:t>
      </w:r>
    </w:p>
    <w:p w14:paraId="70CF147E" w14:textId="535209CD" w:rsidR="00D9696A" w:rsidRDefault="00D9696A" w:rsidP="00CF107E">
      <w:pPr>
        <w:pStyle w:val="Frage-Nummerierung1"/>
        <w:widowControl w:val="0"/>
        <w:numPr>
          <w:ilvl w:val="0"/>
          <w:numId w:val="0"/>
        </w:numPr>
        <w:spacing w:before="0"/>
        <w:ind w:left="1588" w:hanging="1588"/>
      </w:pPr>
    </w:p>
    <w:p w14:paraId="54B13CBB" w14:textId="77777777" w:rsidR="008061E5" w:rsidRPr="00D9696A" w:rsidRDefault="008061E5" w:rsidP="008061E5">
      <w:pPr>
        <w:spacing w:line="240" w:lineRule="auto"/>
        <w:jc w:val="both"/>
        <w:outlineLvl w:val="2"/>
        <w:rPr>
          <w:rFonts w:eastAsia="Arial"/>
          <w:sz w:val="20"/>
          <w:lang w:eastAsia="en-US"/>
        </w:rPr>
      </w:pPr>
      <w:r w:rsidRPr="00D9696A">
        <w:rPr>
          <w:rFonts w:eastAsia="Arial"/>
          <w:sz w:val="20"/>
          <w:lang w:eastAsia="en-US"/>
        </w:rPr>
        <w:t>Stromsperrungen bei SLP-Kundinnen/Kunden</w:t>
      </w:r>
      <w:r w:rsidRPr="00D9696A">
        <w:rPr>
          <w:rFonts w:eastAsia="Arial"/>
          <w:sz w:val="20"/>
          <w:vertAlign w:val="superscript"/>
          <w:lang w:eastAsia="en-US"/>
        </w:rPr>
        <w:t>1</w:t>
      </w:r>
      <w:r w:rsidRPr="00D9696A">
        <w:rPr>
          <w:rFonts w:eastAsia="Arial"/>
          <w:sz w:val="20"/>
          <w:lang w:eastAsia="en-US"/>
        </w:rPr>
        <w:t xml:space="preserve"> im Auftrag der Stromlieferanten:</w:t>
      </w:r>
    </w:p>
    <w:p w14:paraId="2E73B5F7" w14:textId="77777777" w:rsidR="008061E5" w:rsidRPr="00D9696A" w:rsidRDefault="008061E5" w:rsidP="008061E5">
      <w:pPr>
        <w:spacing w:line="240" w:lineRule="auto"/>
        <w:jc w:val="both"/>
        <w:outlineLvl w:val="2"/>
        <w:rPr>
          <w:rFonts w:eastAsia="Arial"/>
          <w:sz w:val="20"/>
          <w:lang w:eastAsia="en-US"/>
        </w:rPr>
      </w:pPr>
    </w:p>
    <w:tbl>
      <w:tblPr>
        <w:tblStyle w:val="Tabellenraster10"/>
        <w:tblW w:w="5000" w:type="pct"/>
        <w:tblInd w:w="-17" w:type="dxa"/>
        <w:tblCellMar>
          <w:top w:w="85" w:type="dxa"/>
          <w:bottom w:w="85" w:type="dxa"/>
        </w:tblCellMar>
        <w:tblLook w:val="04A0" w:firstRow="1" w:lastRow="0" w:firstColumn="1" w:lastColumn="0" w:noHBand="0" w:noVBand="1"/>
      </w:tblPr>
      <w:tblGrid>
        <w:gridCol w:w="2847"/>
        <w:gridCol w:w="6214"/>
      </w:tblGrid>
      <w:tr w:rsidR="008061E5" w:rsidRPr="00D9696A" w14:paraId="395EE20B" w14:textId="77777777" w:rsidTr="002C6348">
        <w:tc>
          <w:tcPr>
            <w:tcW w:w="1571" w:type="pct"/>
          </w:tcPr>
          <w:p w14:paraId="28188B04" w14:textId="77777777" w:rsidR="008061E5" w:rsidRPr="00D9696A" w:rsidRDefault="008061E5" w:rsidP="002C6348">
            <w:pPr>
              <w:spacing w:line="240" w:lineRule="auto"/>
              <w:jc w:val="both"/>
              <w:outlineLvl w:val="2"/>
              <w:rPr>
                <w:sz w:val="20"/>
              </w:rPr>
            </w:pPr>
            <w:r w:rsidRPr="00D9696A">
              <w:rPr>
                <w:sz w:val="20"/>
              </w:rPr>
              <w:t>3. Quartal 2023</w:t>
            </w:r>
          </w:p>
        </w:tc>
        <w:tc>
          <w:tcPr>
            <w:tcW w:w="3429" w:type="pct"/>
            <w:vAlign w:val="center"/>
          </w:tcPr>
          <w:p w14:paraId="5099DA77" w14:textId="77777777" w:rsidR="008061E5" w:rsidRPr="00D9696A" w:rsidRDefault="008061E5" w:rsidP="002C6348">
            <w:pPr>
              <w:spacing w:line="240" w:lineRule="auto"/>
              <w:jc w:val="center"/>
              <w:outlineLvl w:val="2"/>
              <w:rPr>
                <w:sz w:val="20"/>
              </w:rPr>
            </w:pPr>
            <w:r>
              <w:rPr>
                <w:sz w:val="20"/>
              </w:rPr>
              <w:t>795</w:t>
            </w:r>
          </w:p>
        </w:tc>
      </w:tr>
      <w:tr w:rsidR="008061E5" w:rsidRPr="00D9696A" w14:paraId="1993C397" w14:textId="77777777" w:rsidTr="002C6348">
        <w:tc>
          <w:tcPr>
            <w:tcW w:w="1571" w:type="pct"/>
          </w:tcPr>
          <w:p w14:paraId="08129F89" w14:textId="77777777" w:rsidR="008061E5" w:rsidRPr="00D9696A" w:rsidRDefault="008061E5" w:rsidP="002C6348">
            <w:pPr>
              <w:spacing w:line="240" w:lineRule="auto"/>
              <w:jc w:val="both"/>
              <w:outlineLvl w:val="2"/>
              <w:rPr>
                <w:sz w:val="20"/>
              </w:rPr>
            </w:pPr>
            <w:r w:rsidRPr="00D9696A">
              <w:rPr>
                <w:sz w:val="20"/>
              </w:rPr>
              <w:t>4. Quartal 2023</w:t>
            </w:r>
          </w:p>
        </w:tc>
        <w:tc>
          <w:tcPr>
            <w:tcW w:w="3429" w:type="pct"/>
            <w:vAlign w:val="center"/>
          </w:tcPr>
          <w:p w14:paraId="4D7EEE96" w14:textId="77777777" w:rsidR="008061E5" w:rsidRPr="00D9696A" w:rsidRDefault="008061E5" w:rsidP="002C6348">
            <w:pPr>
              <w:spacing w:line="240" w:lineRule="auto"/>
              <w:jc w:val="center"/>
              <w:outlineLvl w:val="2"/>
              <w:rPr>
                <w:i/>
                <w:sz w:val="20"/>
              </w:rPr>
            </w:pPr>
            <w:r>
              <w:rPr>
                <w:sz w:val="20"/>
              </w:rPr>
              <w:t>1.118</w:t>
            </w:r>
          </w:p>
        </w:tc>
      </w:tr>
    </w:tbl>
    <w:p w14:paraId="54C33C30" w14:textId="77777777" w:rsidR="008061E5" w:rsidRPr="00D9696A" w:rsidRDefault="008061E5" w:rsidP="008061E5">
      <w:pPr>
        <w:spacing w:before="120" w:line="240" w:lineRule="auto"/>
        <w:jc w:val="both"/>
        <w:outlineLvl w:val="2"/>
        <w:rPr>
          <w:rFonts w:eastAsia="Arial"/>
          <w:sz w:val="18"/>
          <w:szCs w:val="18"/>
          <w:lang w:eastAsia="en-US"/>
        </w:rPr>
      </w:pPr>
      <w:r w:rsidRPr="00D9696A">
        <w:rPr>
          <w:rFonts w:eastAsia="Arial"/>
          <w:sz w:val="18"/>
          <w:szCs w:val="18"/>
          <w:vertAlign w:val="superscript"/>
          <w:lang w:eastAsia="en-US"/>
        </w:rPr>
        <w:t xml:space="preserve">1 </w:t>
      </w:r>
      <w:r w:rsidRPr="00D9696A">
        <w:rPr>
          <w:rFonts w:eastAsia="Arial"/>
          <w:sz w:val="18"/>
          <w:szCs w:val="18"/>
          <w:lang w:eastAsia="en-US"/>
        </w:rPr>
        <w:t>Bei SLP-Kundinnen/Kunden handelt es sich um Kundinnen/Kunden mit einem Jahresverbrauch von unter 100.000 kWh. Eine Unterscheidung nach Privathaushalten kann vom Stromnetzbetreiber nicht vorgenommen werden.</w:t>
      </w:r>
    </w:p>
    <w:p w14:paraId="60E8F073" w14:textId="77777777" w:rsidR="008061E5" w:rsidRPr="00D9696A" w:rsidRDefault="008061E5" w:rsidP="008061E5">
      <w:pPr>
        <w:spacing w:before="240" w:line="240" w:lineRule="auto"/>
        <w:jc w:val="both"/>
        <w:outlineLvl w:val="2"/>
        <w:rPr>
          <w:rFonts w:eastAsia="Arial"/>
          <w:sz w:val="20"/>
          <w:lang w:eastAsia="en-US"/>
        </w:rPr>
      </w:pPr>
      <w:r w:rsidRPr="00D9696A">
        <w:rPr>
          <w:rFonts w:eastAsia="Arial"/>
          <w:sz w:val="20"/>
          <w:lang w:eastAsia="en-US"/>
        </w:rPr>
        <w:t xml:space="preserve">Im Jahr 2023 wurden </w:t>
      </w:r>
      <w:r>
        <w:rPr>
          <w:rFonts w:eastAsia="Arial"/>
          <w:sz w:val="20"/>
          <w:lang w:eastAsia="en-US"/>
        </w:rPr>
        <w:t>2.261</w:t>
      </w:r>
      <w:r w:rsidRPr="00D9696A">
        <w:rPr>
          <w:rFonts w:eastAsia="Arial"/>
          <w:sz w:val="20"/>
          <w:lang w:eastAsia="en-US"/>
        </w:rPr>
        <w:t xml:space="preserve"> Stromsperrungen umgesetzt; </w:t>
      </w:r>
      <w:r>
        <w:rPr>
          <w:rFonts w:eastAsia="Arial"/>
          <w:sz w:val="20"/>
          <w:lang w:eastAsia="en-US"/>
        </w:rPr>
        <w:t>1.428</w:t>
      </w:r>
      <w:r w:rsidRPr="00D9696A">
        <w:rPr>
          <w:rFonts w:eastAsia="Arial"/>
          <w:sz w:val="20"/>
          <w:lang w:eastAsia="en-US"/>
        </w:rPr>
        <w:t xml:space="preserve"> weniger als im Vorjahr (2022: </w:t>
      </w:r>
      <w:r>
        <w:rPr>
          <w:rFonts w:eastAsia="Arial"/>
          <w:sz w:val="20"/>
          <w:lang w:eastAsia="en-US"/>
        </w:rPr>
        <w:t>3.689</w:t>
      </w:r>
      <w:r w:rsidRPr="00D9696A">
        <w:rPr>
          <w:rFonts w:eastAsia="Arial"/>
          <w:sz w:val="20"/>
          <w:lang w:eastAsia="en-US"/>
        </w:rPr>
        <w:t xml:space="preserve">). </w:t>
      </w:r>
    </w:p>
    <w:p w14:paraId="635D6502" w14:textId="77777777" w:rsidR="008061E5" w:rsidRPr="00D9696A" w:rsidRDefault="008061E5" w:rsidP="008061E5">
      <w:pPr>
        <w:pStyle w:val="Frage-Nummerierung1"/>
        <w:numPr>
          <w:ilvl w:val="0"/>
          <w:numId w:val="0"/>
        </w:numPr>
        <w:spacing w:before="0"/>
        <w:ind w:left="1588" w:hanging="1588"/>
        <w:rPr>
          <w:i w:val="0"/>
        </w:rPr>
      </w:pPr>
    </w:p>
    <w:p w14:paraId="006AA558" w14:textId="77777777" w:rsidR="007E7FCC" w:rsidRPr="007E7FCC" w:rsidRDefault="007E7FCC" w:rsidP="00CF107E">
      <w:pPr>
        <w:pStyle w:val="Frage-Nummerierung1"/>
        <w:widowControl w:val="0"/>
        <w:numPr>
          <w:ilvl w:val="0"/>
          <w:numId w:val="0"/>
        </w:numPr>
        <w:spacing w:before="0"/>
        <w:ind w:left="1588" w:hanging="1588"/>
      </w:pPr>
    </w:p>
    <w:p w14:paraId="05610BF2" w14:textId="3A7E51FE" w:rsidR="00D9696A" w:rsidRDefault="007E7FCC" w:rsidP="00CF107E">
      <w:pPr>
        <w:pStyle w:val="Frage-Nummerierung1"/>
        <w:widowControl w:val="0"/>
        <w:spacing w:before="0"/>
        <w:ind w:left="1701" w:hanging="1701"/>
      </w:pPr>
      <w:r w:rsidRPr="007E7FCC">
        <w:t xml:space="preserve">Wie viele Mahnverfahren wegen nicht bezahlter Stromrechnungen hat der auch als Grundversorger fungierende Konzern Vattenfall beziehungsweise Hamburg Energie jeweils im 3. und 4. Quartal 2023 eingeleitet? Bitte analog zu </w:t>
      </w:r>
      <w:proofErr w:type="spellStart"/>
      <w:r w:rsidRPr="007E7FCC">
        <w:t>Drs</w:t>
      </w:r>
      <w:proofErr w:type="spellEnd"/>
      <w:r w:rsidRPr="007E7FCC">
        <w:t>. 21/18665 jeweils quartalsweise benennen.</w:t>
      </w:r>
    </w:p>
    <w:p w14:paraId="2FE65C86" w14:textId="77777777" w:rsidR="00D9696A" w:rsidRPr="00D9696A" w:rsidRDefault="00D9696A" w:rsidP="00CF107E">
      <w:pPr>
        <w:widowControl w:val="0"/>
        <w:spacing w:before="240" w:after="120" w:line="240" w:lineRule="auto"/>
        <w:jc w:val="both"/>
        <w:outlineLvl w:val="2"/>
        <w:rPr>
          <w:rFonts w:eastAsia="Arial"/>
          <w:iCs/>
          <w:sz w:val="20"/>
          <w:lang w:eastAsia="en-US"/>
        </w:rPr>
      </w:pPr>
      <w:r w:rsidRPr="00D9696A">
        <w:rPr>
          <w:rFonts w:eastAsia="Arial"/>
          <w:iCs/>
          <w:sz w:val="20"/>
          <w:lang w:eastAsia="en-US"/>
        </w:rPr>
        <w:t>Mahnverfahren von Hamburg Energie:</w:t>
      </w:r>
    </w:p>
    <w:tbl>
      <w:tblPr>
        <w:tblStyle w:val="Tabellenraster12"/>
        <w:tblW w:w="9180" w:type="dxa"/>
        <w:tblInd w:w="-113" w:type="dxa"/>
        <w:tblLook w:val="04A0" w:firstRow="1" w:lastRow="0" w:firstColumn="1" w:lastColumn="0" w:noHBand="0" w:noVBand="1"/>
      </w:tblPr>
      <w:tblGrid>
        <w:gridCol w:w="1951"/>
        <w:gridCol w:w="2977"/>
        <w:gridCol w:w="4252"/>
      </w:tblGrid>
      <w:tr w:rsidR="00D9696A" w:rsidRPr="00D9696A" w14:paraId="6E8F738D" w14:textId="77777777" w:rsidTr="00D9696A">
        <w:tc>
          <w:tcPr>
            <w:tcW w:w="1951" w:type="dxa"/>
            <w:vMerge w:val="restart"/>
            <w:vAlign w:val="center"/>
          </w:tcPr>
          <w:p w14:paraId="33785EB7" w14:textId="77777777" w:rsidR="00D9696A" w:rsidRPr="00D9696A" w:rsidRDefault="00D9696A" w:rsidP="00CF107E">
            <w:pPr>
              <w:widowControl w:val="0"/>
              <w:spacing w:before="60" w:after="60" w:line="240" w:lineRule="auto"/>
              <w:jc w:val="center"/>
              <w:outlineLvl w:val="2"/>
              <w:rPr>
                <w:iCs/>
                <w:sz w:val="20"/>
              </w:rPr>
            </w:pPr>
            <w:r w:rsidRPr="00D9696A">
              <w:rPr>
                <w:iCs/>
                <w:sz w:val="20"/>
              </w:rPr>
              <w:t>3. Quartal 2023</w:t>
            </w:r>
          </w:p>
        </w:tc>
        <w:tc>
          <w:tcPr>
            <w:tcW w:w="2977" w:type="dxa"/>
          </w:tcPr>
          <w:p w14:paraId="2BD66ABF" w14:textId="77777777" w:rsidR="00D9696A" w:rsidRPr="00D9696A" w:rsidRDefault="00D9696A" w:rsidP="00CF107E">
            <w:pPr>
              <w:widowControl w:val="0"/>
              <w:spacing w:before="60" w:after="60" w:line="240" w:lineRule="auto"/>
              <w:jc w:val="both"/>
              <w:outlineLvl w:val="2"/>
              <w:rPr>
                <w:iCs/>
                <w:sz w:val="20"/>
              </w:rPr>
            </w:pPr>
            <w:r w:rsidRPr="00D9696A">
              <w:rPr>
                <w:iCs/>
                <w:sz w:val="20"/>
              </w:rPr>
              <w:t>1. Mahnung</w:t>
            </w:r>
          </w:p>
        </w:tc>
        <w:tc>
          <w:tcPr>
            <w:tcW w:w="4252" w:type="dxa"/>
          </w:tcPr>
          <w:p w14:paraId="5BC9FA2D" w14:textId="77777777" w:rsidR="00D9696A" w:rsidRPr="00D9696A" w:rsidRDefault="00D9696A" w:rsidP="00CF107E">
            <w:pPr>
              <w:widowControl w:val="0"/>
              <w:spacing w:before="60" w:after="60" w:line="240" w:lineRule="auto"/>
              <w:jc w:val="center"/>
              <w:outlineLvl w:val="2"/>
              <w:rPr>
                <w:iCs/>
                <w:sz w:val="20"/>
              </w:rPr>
            </w:pPr>
            <w:r w:rsidRPr="00D9696A">
              <w:rPr>
                <w:iCs/>
                <w:sz w:val="20"/>
              </w:rPr>
              <w:t>7.903</w:t>
            </w:r>
          </w:p>
        </w:tc>
      </w:tr>
      <w:tr w:rsidR="00D9696A" w:rsidRPr="00D9696A" w14:paraId="1FF2E2E7" w14:textId="77777777" w:rsidTr="00D9696A">
        <w:tc>
          <w:tcPr>
            <w:tcW w:w="1951" w:type="dxa"/>
            <w:vMerge/>
            <w:vAlign w:val="center"/>
          </w:tcPr>
          <w:p w14:paraId="1050D4F2" w14:textId="77777777" w:rsidR="00D9696A" w:rsidRPr="00D9696A" w:rsidRDefault="00D9696A" w:rsidP="00CF107E">
            <w:pPr>
              <w:widowControl w:val="0"/>
              <w:spacing w:before="60" w:after="60" w:line="240" w:lineRule="auto"/>
              <w:jc w:val="center"/>
              <w:outlineLvl w:val="2"/>
              <w:rPr>
                <w:iCs/>
                <w:sz w:val="20"/>
              </w:rPr>
            </w:pPr>
          </w:p>
        </w:tc>
        <w:tc>
          <w:tcPr>
            <w:tcW w:w="2977" w:type="dxa"/>
          </w:tcPr>
          <w:p w14:paraId="080610F9" w14:textId="77777777" w:rsidR="00D9696A" w:rsidRPr="00D9696A" w:rsidRDefault="00D9696A" w:rsidP="00CF107E">
            <w:pPr>
              <w:widowControl w:val="0"/>
              <w:spacing w:before="60" w:after="60" w:line="240" w:lineRule="auto"/>
              <w:jc w:val="both"/>
              <w:outlineLvl w:val="2"/>
              <w:rPr>
                <w:iCs/>
                <w:sz w:val="20"/>
              </w:rPr>
            </w:pPr>
            <w:r w:rsidRPr="00D9696A">
              <w:rPr>
                <w:iCs/>
                <w:sz w:val="20"/>
              </w:rPr>
              <w:t>2. Mahnung</w:t>
            </w:r>
          </w:p>
        </w:tc>
        <w:tc>
          <w:tcPr>
            <w:tcW w:w="4252" w:type="dxa"/>
          </w:tcPr>
          <w:p w14:paraId="6BC5D7C0" w14:textId="77777777" w:rsidR="00D9696A" w:rsidRPr="00D9696A" w:rsidRDefault="00D9696A" w:rsidP="00CF107E">
            <w:pPr>
              <w:widowControl w:val="0"/>
              <w:spacing w:before="60" w:after="60" w:line="240" w:lineRule="auto"/>
              <w:jc w:val="center"/>
              <w:outlineLvl w:val="2"/>
              <w:rPr>
                <w:iCs/>
                <w:sz w:val="20"/>
              </w:rPr>
            </w:pPr>
            <w:r w:rsidRPr="00D9696A">
              <w:rPr>
                <w:iCs/>
                <w:sz w:val="20"/>
              </w:rPr>
              <w:t>3.249</w:t>
            </w:r>
          </w:p>
        </w:tc>
      </w:tr>
      <w:tr w:rsidR="00D9696A" w:rsidRPr="00D9696A" w14:paraId="164251B3" w14:textId="77777777" w:rsidTr="00D9696A">
        <w:tc>
          <w:tcPr>
            <w:tcW w:w="1951" w:type="dxa"/>
            <w:vMerge w:val="restart"/>
            <w:vAlign w:val="center"/>
          </w:tcPr>
          <w:p w14:paraId="43F77F06" w14:textId="77777777" w:rsidR="00D9696A" w:rsidRPr="00D9696A" w:rsidRDefault="00D9696A" w:rsidP="00CF107E">
            <w:pPr>
              <w:widowControl w:val="0"/>
              <w:spacing w:before="60" w:after="60" w:line="240" w:lineRule="auto"/>
              <w:jc w:val="center"/>
              <w:outlineLvl w:val="2"/>
              <w:rPr>
                <w:iCs/>
                <w:sz w:val="20"/>
              </w:rPr>
            </w:pPr>
            <w:r w:rsidRPr="00D9696A">
              <w:rPr>
                <w:iCs/>
                <w:sz w:val="20"/>
              </w:rPr>
              <w:t>4. Quartal 2023</w:t>
            </w:r>
          </w:p>
        </w:tc>
        <w:tc>
          <w:tcPr>
            <w:tcW w:w="2977" w:type="dxa"/>
          </w:tcPr>
          <w:p w14:paraId="08D0F17C" w14:textId="77777777" w:rsidR="00D9696A" w:rsidRPr="00D9696A" w:rsidRDefault="00D9696A" w:rsidP="00CF107E">
            <w:pPr>
              <w:widowControl w:val="0"/>
              <w:spacing w:before="60" w:after="60" w:line="240" w:lineRule="auto"/>
              <w:jc w:val="both"/>
              <w:outlineLvl w:val="2"/>
              <w:rPr>
                <w:iCs/>
                <w:sz w:val="20"/>
              </w:rPr>
            </w:pPr>
            <w:r w:rsidRPr="00D9696A">
              <w:rPr>
                <w:iCs/>
                <w:sz w:val="20"/>
              </w:rPr>
              <w:t>1. Mahnung</w:t>
            </w:r>
          </w:p>
        </w:tc>
        <w:tc>
          <w:tcPr>
            <w:tcW w:w="4252" w:type="dxa"/>
          </w:tcPr>
          <w:p w14:paraId="52CCCF87" w14:textId="77777777" w:rsidR="00D9696A" w:rsidRPr="00D9696A" w:rsidRDefault="00D9696A" w:rsidP="00CF107E">
            <w:pPr>
              <w:widowControl w:val="0"/>
              <w:spacing w:before="60" w:after="60" w:line="240" w:lineRule="auto"/>
              <w:jc w:val="center"/>
              <w:outlineLvl w:val="2"/>
              <w:rPr>
                <w:iCs/>
                <w:sz w:val="20"/>
              </w:rPr>
            </w:pPr>
            <w:r w:rsidRPr="00D9696A">
              <w:rPr>
                <w:iCs/>
                <w:sz w:val="20"/>
              </w:rPr>
              <w:t>5.101</w:t>
            </w:r>
          </w:p>
        </w:tc>
      </w:tr>
      <w:tr w:rsidR="00D9696A" w:rsidRPr="00D9696A" w14:paraId="78EB218A" w14:textId="77777777" w:rsidTr="00D9696A">
        <w:tc>
          <w:tcPr>
            <w:tcW w:w="1951" w:type="dxa"/>
            <w:vMerge/>
          </w:tcPr>
          <w:p w14:paraId="094509D6" w14:textId="77777777" w:rsidR="00D9696A" w:rsidRPr="00D9696A" w:rsidRDefault="00D9696A" w:rsidP="00CF107E">
            <w:pPr>
              <w:widowControl w:val="0"/>
              <w:spacing w:before="60" w:after="60" w:line="240" w:lineRule="auto"/>
              <w:jc w:val="both"/>
              <w:outlineLvl w:val="2"/>
              <w:rPr>
                <w:iCs/>
                <w:sz w:val="20"/>
              </w:rPr>
            </w:pPr>
          </w:p>
        </w:tc>
        <w:tc>
          <w:tcPr>
            <w:tcW w:w="2977" w:type="dxa"/>
          </w:tcPr>
          <w:p w14:paraId="389706FF" w14:textId="77777777" w:rsidR="00D9696A" w:rsidRPr="00D9696A" w:rsidRDefault="00D9696A" w:rsidP="00CF107E">
            <w:pPr>
              <w:widowControl w:val="0"/>
              <w:spacing w:before="60" w:after="60" w:line="240" w:lineRule="auto"/>
              <w:jc w:val="both"/>
              <w:outlineLvl w:val="2"/>
              <w:rPr>
                <w:iCs/>
                <w:sz w:val="20"/>
              </w:rPr>
            </w:pPr>
            <w:r w:rsidRPr="00D9696A">
              <w:rPr>
                <w:iCs/>
                <w:sz w:val="20"/>
              </w:rPr>
              <w:t>2. Mahnung</w:t>
            </w:r>
          </w:p>
        </w:tc>
        <w:tc>
          <w:tcPr>
            <w:tcW w:w="4252" w:type="dxa"/>
          </w:tcPr>
          <w:p w14:paraId="14F43D94" w14:textId="77777777" w:rsidR="00D9696A" w:rsidRPr="00D9696A" w:rsidRDefault="00D9696A" w:rsidP="00CF107E">
            <w:pPr>
              <w:widowControl w:val="0"/>
              <w:spacing w:before="60" w:after="60" w:line="240" w:lineRule="auto"/>
              <w:jc w:val="center"/>
              <w:outlineLvl w:val="2"/>
              <w:rPr>
                <w:iCs/>
                <w:sz w:val="20"/>
              </w:rPr>
            </w:pPr>
            <w:r w:rsidRPr="00D9696A">
              <w:rPr>
                <w:iCs/>
                <w:sz w:val="20"/>
              </w:rPr>
              <w:t>2.375</w:t>
            </w:r>
          </w:p>
        </w:tc>
      </w:tr>
    </w:tbl>
    <w:p w14:paraId="6F72B5F9" w14:textId="77777777" w:rsidR="00D9696A" w:rsidRPr="00D9696A" w:rsidRDefault="00D9696A" w:rsidP="00CF107E">
      <w:pPr>
        <w:widowControl w:val="0"/>
        <w:spacing w:before="240" w:line="240" w:lineRule="auto"/>
        <w:jc w:val="both"/>
        <w:outlineLvl w:val="2"/>
        <w:rPr>
          <w:rFonts w:eastAsia="Arial"/>
          <w:sz w:val="20"/>
          <w:lang w:eastAsia="en-US"/>
        </w:rPr>
      </w:pPr>
      <w:r w:rsidRPr="00D9696A">
        <w:rPr>
          <w:rFonts w:eastAsia="Arial"/>
          <w:sz w:val="20"/>
          <w:lang w:eastAsia="en-US"/>
        </w:rPr>
        <w:t>Der Grundversorger Vattenfall Europe Sales konnte in der zur Verfügung stehenden Zeit keine Daten zu Mahnverfahren bereitstellen.</w:t>
      </w:r>
    </w:p>
    <w:p w14:paraId="60CB4341" w14:textId="77777777" w:rsidR="00A81325" w:rsidRPr="007E7FCC" w:rsidRDefault="00A81325" w:rsidP="00CF107E">
      <w:pPr>
        <w:pStyle w:val="Frage-Nummerierung1"/>
        <w:widowControl w:val="0"/>
        <w:numPr>
          <w:ilvl w:val="0"/>
          <w:numId w:val="0"/>
        </w:numPr>
        <w:spacing w:before="0"/>
        <w:ind w:left="1588" w:hanging="1588"/>
      </w:pPr>
    </w:p>
    <w:p w14:paraId="44D00F4B" w14:textId="5B08B0F3" w:rsidR="007E7FCC" w:rsidRDefault="007E7FCC" w:rsidP="00CF107E">
      <w:pPr>
        <w:pStyle w:val="Frage-Nummerierung1"/>
        <w:widowControl w:val="0"/>
        <w:spacing w:before="0"/>
        <w:ind w:left="1701" w:hanging="1701"/>
      </w:pPr>
      <w:r w:rsidRPr="007E7FCC">
        <w:t>Wie vielen Privathaushalten in Hamburg wurde im 3. und 4. Quartal 2023 die Gasversorgung gesperrt? Bitte jeweils quartalsweise benennen.</w:t>
      </w:r>
    </w:p>
    <w:p w14:paraId="77793E87" w14:textId="0160C299" w:rsidR="00D9696A" w:rsidRDefault="00D9696A" w:rsidP="00CF107E">
      <w:pPr>
        <w:pStyle w:val="Frage-Nummerierung1"/>
        <w:widowControl w:val="0"/>
        <w:numPr>
          <w:ilvl w:val="0"/>
          <w:numId w:val="0"/>
        </w:numPr>
        <w:spacing w:before="0"/>
        <w:ind w:left="1588" w:hanging="1588"/>
      </w:pPr>
    </w:p>
    <w:p w14:paraId="78161D4D" w14:textId="036F1C3F" w:rsidR="00D9696A" w:rsidRDefault="00D9696A" w:rsidP="00CF107E">
      <w:pPr>
        <w:pStyle w:val="Frage-Nummerierung1"/>
        <w:widowControl w:val="0"/>
        <w:numPr>
          <w:ilvl w:val="0"/>
          <w:numId w:val="0"/>
        </w:numPr>
        <w:spacing w:before="0"/>
        <w:ind w:left="1588" w:hanging="1588"/>
      </w:pPr>
    </w:p>
    <w:p w14:paraId="70C81C4F" w14:textId="77777777" w:rsidR="00D9696A" w:rsidRPr="00D9696A" w:rsidRDefault="00D9696A" w:rsidP="00CF107E">
      <w:pPr>
        <w:widowControl w:val="0"/>
        <w:spacing w:line="240" w:lineRule="auto"/>
        <w:jc w:val="both"/>
        <w:outlineLvl w:val="2"/>
        <w:rPr>
          <w:rFonts w:eastAsia="Arial"/>
          <w:sz w:val="20"/>
          <w:lang w:eastAsia="en-US"/>
        </w:rPr>
      </w:pPr>
      <w:r w:rsidRPr="00D9696A">
        <w:rPr>
          <w:rFonts w:eastAsia="Arial"/>
          <w:sz w:val="20"/>
          <w:lang w:eastAsia="en-US"/>
        </w:rPr>
        <w:t>Gassperrungen bei SLP-Kundinnen/Kunden</w:t>
      </w:r>
      <w:r w:rsidRPr="00D9696A">
        <w:rPr>
          <w:rFonts w:eastAsia="Arial"/>
          <w:sz w:val="20"/>
          <w:vertAlign w:val="superscript"/>
          <w:lang w:eastAsia="en-US"/>
        </w:rPr>
        <w:t>1</w:t>
      </w:r>
      <w:r w:rsidRPr="00D9696A">
        <w:rPr>
          <w:rFonts w:eastAsia="Arial"/>
          <w:sz w:val="20"/>
          <w:lang w:eastAsia="en-US"/>
        </w:rPr>
        <w:t xml:space="preserve"> im Auftrag der Gaslieferanten:</w:t>
      </w:r>
    </w:p>
    <w:p w14:paraId="47F2F052" w14:textId="77777777" w:rsidR="00D9696A" w:rsidRPr="00D9696A" w:rsidRDefault="00D9696A" w:rsidP="00CF107E">
      <w:pPr>
        <w:widowControl w:val="0"/>
        <w:spacing w:line="240" w:lineRule="auto"/>
        <w:ind w:left="28" w:hanging="1588"/>
        <w:jc w:val="both"/>
        <w:outlineLvl w:val="2"/>
        <w:rPr>
          <w:rFonts w:eastAsia="Arial"/>
          <w:sz w:val="20"/>
          <w:lang w:eastAsia="en-US"/>
        </w:rPr>
      </w:pPr>
    </w:p>
    <w:tbl>
      <w:tblPr>
        <w:tblStyle w:val="Tabellenraster13"/>
        <w:tblW w:w="5000" w:type="pct"/>
        <w:tblInd w:w="-5" w:type="dxa"/>
        <w:tblCellMar>
          <w:top w:w="85" w:type="dxa"/>
          <w:bottom w:w="85" w:type="dxa"/>
        </w:tblCellMar>
        <w:tblLook w:val="04A0" w:firstRow="1" w:lastRow="0" w:firstColumn="1" w:lastColumn="0" w:noHBand="0" w:noVBand="1"/>
      </w:tblPr>
      <w:tblGrid>
        <w:gridCol w:w="2834"/>
        <w:gridCol w:w="6227"/>
      </w:tblGrid>
      <w:tr w:rsidR="00D9696A" w:rsidRPr="00D9696A" w14:paraId="0CEE79B8" w14:textId="77777777" w:rsidTr="00D9696A">
        <w:tc>
          <w:tcPr>
            <w:tcW w:w="1564" w:type="pct"/>
          </w:tcPr>
          <w:p w14:paraId="4DFA49BD" w14:textId="77777777" w:rsidR="00D9696A" w:rsidRPr="00D9696A" w:rsidRDefault="00D9696A" w:rsidP="00CF107E">
            <w:pPr>
              <w:widowControl w:val="0"/>
              <w:spacing w:line="240" w:lineRule="auto"/>
              <w:jc w:val="both"/>
              <w:outlineLvl w:val="2"/>
              <w:rPr>
                <w:sz w:val="20"/>
              </w:rPr>
            </w:pPr>
            <w:r w:rsidRPr="00D9696A">
              <w:rPr>
                <w:sz w:val="20"/>
              </w:rPr>
              <w:t>3. Quartal 2023</w:t>
            </w:r>
          </w:p>
        </w:tc>
        <w:tc>
          <w:tcPr>
            <w:tcW w:w="3436" w:type="pct"/>
            <w:vAlign w:val="center"/>
          </w:tcPr>
          <w:p w14:paraId="15EBAA3C" w14:textId="77777777" w:rsidR="00D9696A" w:rsidRPr="00D9696A" w:rsidRDefault="00D9696A" w:rsidP="00CF107E">
            <w:pPr>
              <w:widowControl w:val="0"/>
              <w:spacing w:line="240" w:lineRule="auto"/>
              <w:jc w:val="center"/>
              <w:outlineLvl w:val="2"/>
              <w:rPr>
                <w:sz w:val="20"/>
              </w:rPr>
            </w:pPr>
            <w:r w:rsidRPr="00D9696A">
              <w:rPr>
                <w:sz w:val="20"/>
              </w:rPr>
              <w:t>2</w:t>
            </w:r>
          </w:p>
        </w:tc>
      </w:tr>
      <w:tr w:rsidR="00D9696A" w:rsidRPr="00D9696A" w14:paraId="47391D68" w14:textId="77777777" w:rsidTr="00D9696A">
        <w:tc>
          <w:tcPr>
            <w:tcW w:w="1564" w:type="pct"/>
          </w:tcPr>
          <w:p w14:paraId="33C04AFB" w14:textId="77777777" w:rsidR="00D9696A" w:rsidRPr="00D9696A" w:rsidRDefault="00D9696A" w:rsidP="00CF107E">
            <w:pPr>
              <w:widowControl w:val="0"/>
              <w:spacing w:line="240" w:lineRule="auto"/>
              <w:jc w:val="both"/>
              <w:outlineLvl w:val="2"/>
              <w:rPr>
                <w:sz w:val="20"/>
              </w:rPr>
            </w:pPr>
            <w:r w:rsidRPr="00D9696A">
              <w:rPr>
                <w:sz w:val="20"/>
              </w:rPr>
              <w:t>4. Quartal 2023</w:t>
            </w:r>
          </w:p>
        </w:tc>
        <w:tc>
          <w:tcPr>
            <w:tcW w:w="3436" w:type="pct"/>
            <w:vAlign w:val="center"/>
          </w:tcPr>
          <w:p w14:paraId="73094F6E" w14:textId="77777777" w:rsidR="00D9696A" w:rsidRPr="00D9696A" w:rsidRDefault="00D9696A" w:rsidP="00CF107E">
            <w:pPr>
              <w:widowControl w:val="0"/>
              <w:spacing w:line="240" w:lineRule="auto"/>
              <w:jc w:val="center"/>
              <w:outlineLvl w:val="2"/>
              <w:rPr>
                <w:sz w:val="20"/>
              </w:rPr>
            </w:pPr>
            <w:r w:rsidRPr="00D9696A">
              <w:rPr>
                <w:sz w:val="20"/>
              </w:rPr>
              <w:t>0</w:t>
            </w:r>
          </w:p>
        </w:tc>
      </w:tr>
    </w:tbl>
    <w:p w14:paraId="7529EEBA" w14:textId="77777777" w:rsidR="00D9696A" w:rsidRPr="00D9696A" w:rsidRDefault="00D9696A" w:rsidP="00993E5E">
      <w:pPr>
        <w:widowControl w:val="0"/>
        <w:spacing w:before="120" w:line="240" w:lineRule="auto"/>
        <w:ind w:left="142" w:hanging="142"/>
        <w:jc w:val="both"/>
        <w:outlineLvl w:val="2"/>
        <w:rPr>
          <w:rFonts w:eastAsia="Arial"/>
          <w:sz w:val="18"/>
          <w:szCs w:val="18"/>
          <w:lang w:eastAsia="en-US"/>
        </w:rPr>
      </w:pPr>
      <w:r w:rsidRPr="00D9696A">
        <w:rPr>
          <w:rFonts w:eastAsia="Arial"/>
          <w:sz w:val="18"/>
          <w:szCs w:val="18"/>
          <w:vertAlign w:val="superscript"/>
          <w:lang w:eastAsia="en-US"/>
        </w:rPr>
        <w:t xml:space="preserve">1 </w:t>
      </w:r>
      <w:r w:rsidRPr="00D9696A">
        <w:rPr>
          <w:rFonts w:eastAsia="Arial"/>
          <w:sz w:val="18"/>
          <w:szCs w:val="18"/>
          <w:lang w:eastAsia="en-US"/>
        </w:rPr>
        <w:t>Bei SLP-Kundinnen/Kunden handelt es sich um Kundinnen/Kunden mit einem Jahresverbrauch von unter 1,5 Mio. kWh und 500 kW. Eine Unterscheidung nach Privathaushalten kann vom Gasnetzbetreiber nicht vorgenommen werden.</w:t>
      </w:r>
    </w:p>
    <w:p w14:paraId="7DD85F2C" w14:textId="77777777" w:rsidR="00D9696A" w:rsidRPr="007E7FCC" w:rsidRDefault="00D9696A" w:rsidP="00CF107E">
      <w:pPr>
        <w:pStyle w:val="Frage-Nummerierung1"/>
        <w:widowControl w:val="0"/>
        <w:numPr>
          <w:ilvl w:val="0"/>
          <w:numId w:val="0"/>
        </w:numPr>
        <w:spacing w:before="0"/>
        <w:ind w:left="1588" w:hanging="1588"/>
      </w:pPr>
    </w:p>
    <w:p w14:paraId="58DD28D8" w14:textId="6ACE4759" w:rsidR="007E7FCC" w:rsidRDefault="007E7FCC" w:rsidP="00CF107E">
      <w:pPr>
        <w:pStyle w:val="Frage-Nummerierung1"/>
        <w:widowControl w:val="0"/>
        <w:spacing w:before="0"/>
        <w:ind w:left="1701" w:hanging="1701"/>
      </w:pPr>
      <w:r w:rsidRPr="007E7FCC">
        <w:t>Wie vielen Privathaushalten in Hamburg wurde im 3. und 4. Quartal 2023 die Wasserversorgung gesperrt? Bitte jeweils quartalsweise benennen.</w:t>
      </w:r>
    </w:p>
    <w:p w14:paraId="06941ED7" w14:textId="7B6FDB2B" w:rsidR="00D9696A" w:rsidRDefault="00D9696A" w:rsidP="00CF107E">
      <w:pPr>
        <w:pStyle w:val="Frage-Nummerierung1"/>
        <w:widowControl w:val="0"/>
        <w:numPr>
          <w:ilvl w:val="0"/>
          <w:numId w:val="0"/>
        </w:numPr>
        <w:spacing w:before="0"/>
        <w:ind w:left="1588" w:hanging="1588"/>
      </w:pPr>
    </w:p>
    <w:tbl>
      <w:tblPr>
        <w:tblStyle w:val="Tabellenraster14"/>
        <w:tblW w:w="5000" w:type="pct"/>
        <w:tblInd w:w="-5" w:type="dxa"/>
        <w:tblCellMar>
          <w:top w:w="85" w:type="dxa"/>
          <w:bottom w:w="85" w:type="dxa"/>
        </w:tblCellMar>
        <w:tblLook w:val="04A0" w:firstRow="1" w:lastRow="0" w:firstColumn="1" w:lastColumn="0" w:noHBand="0" w:noVBand="1"/>
      </w:tblPr>
      <w:tblGrid>
        <w:gridCol w:w="2834"/>
        <w:gridCol w:w="6227"/>
      </w:tblGrid>
      <w:tr w:rsidR="00D9696A" w:rsidRPr="00D9696A" w14:paraId="0609DF5C" w14:textId="77777777" w:rsidTr="00D9696A">
        <w:tc>
          <w:tcPr>
            <w:tcW w:w="1564" w:type="pct"/>
          </w:tcPr>
          <w:p w14:paraId="38BB0E05" w14:textId="77777777" w:rsidR="00D9696A" w:rsidRPr="00D9696A" w:rsidRDefault="00D9696A" w:rsidP="00CF107E">
            <w:pPr>
              <w:widowControl w:val="0"/>
              <w:spacing w:line="240" w:lineRule="auto"/>
              <w:jc w:val="both"/>
              <w:outlineLvl w:val="2"/>
              <w:rPr>
                <w:sz w:val="20"/>
              </w:rPr>
            </w:pPr>
            <w:r w:rsidRPr="00D9696A">
              <w:rPr>
                <w:sz w:val="20"/>
              </w:rPr>
              <w:t>3. Quartal 2023</w:t>
            </w:r>
          </w:p>
        </w:tc>
        <w:tc>
          <w:tcPr>
            <w:tcW w:w="3436" w:type="pct"/>
            <w:vAlign w:val="center"/>
          </w:tcPr>
          <w:p w14:paraId="7B159534" w14:textId="77777777" w:rsidR="00D9696A" w:rsidRPr="00D9696A" w:rsidRDefault="00D9696A" w:rsidP="00CF107E">
            <w:pPr>
              <w:widowControl w:val="0"/>
              <w:spacing w:line="240" w:lineRule="auto"/>
              <w:jc w:val="center"/>
              <w:outlineLvl w:val="2"/>
              <w:rPr>
                <w:sz w:val="20"/>
              </w:rPr>
            </w:pPr>
            <w:r w:rsidRPr="00D9696A">
              <w:rPr>
                <w:sz w:val="20"/>
              </w:rPr>
              <w:t>37</w:t>
            </w:r>
          </w:p>
        </w:tc>
      </w:tr>
      <w:tr w:rsidR="00D9696A" w:rsidRPr="00D9696A" w14:paraId="2A32BF7E" w14:textId="77777777" w:rsidTr="00D9696A">
        <w:tc>
          <w:tcPr>
            <w:tcW w:w="1564" w:type="pct"/>
          </w:tcPr>
          <w:p w14:paraId="43CA7C73" w14:textId="77777777" w:rsidR="00D9696A" w:rsidRPr="00D9696A" w:rsidRDefault="00D9696A" w:rsidP="00CF107E">
            <w:pPr>
              <w:widowControl w:val="0"/>
              <w:spacing w:line="240" w:lineRule="auto"/>
              <w:jc w:val="both"/>
              <w:outlineLvl w:val="2"/>
              <w:rPr>
                <w:sz w:val="20"/>
              </w:rPr>
            </w:pPr>
            <w:r w:rsidRPr="00D9696A">
              <w:rPr>
                <w:sz w:val="20"/>
              </w:rPr>
              <w:t>4. Quartal 2023</w:t>
            </w:r>
          </w:p>
        </w:tc>
        <w:tc>
          <w:tcPr>
            <w:tcW w:w="3436" w:type="pct"/>
            <w:vAlign w:val="center"/>
          </w:tcPr>
          <w:p w14:paraId="4A15322D" w14:textId="77777777" w:rsidR="00D9696A" w:rsidRPr="00D9696A" w:rsidRDefault="00D9696A" w:rsidP="00CF107E">
            <w:pPr>
              <w:widowControl w:val="0"/>
              <w:spacing w:line="240" w:lineRule="auto"/>
              <w:jc w:val="center"/>
              <w:outlineLvl w:val="2"/>
              <w:rPr>
                <w:sz w:val="20"/>
              </w:rPr>
            </w:pPr>
            <w:r w:rsidRPr="00D9696A">
              <w:rPr>
                <w:sz w:val="20"/>
              </w:rPr>
              <w:t>53</w:t>
            </w:r>
          </w:p>
        </w:tc>
      </w:tr>
    </w:tbl>
    <w:p w14:paraId="77157724" w14:textId="77777777" w:rsidR="00A81325" w:rsidRPr="007E7FCC" w:rsidRDefault="00A81325" w:rsidP="00CF107E">
      <w:pPr>
        <w:pStyle w:val="Frage-Nummerierung1"/>
        <w:widowControl w:val="0"/>
        <w:numPr>
          <w:ilvl w:val="0"/>
          <w:numId w:val="0"/>
        </w:numPr>
        <w:spacing w:before="0"/>
        <w:ind w:left="1588" w:hanging="1588"/>
      </w:pPr>
    </w:p>
    <w:p w14:paraId="188EBF82" w14:textId="5C4DB0AA" w:rsidR="007E7FCC" w:rsidRDefault="007E7FCC" w:rsidP="00CF107E">
      <w:pPr>
        <w:pStyle w:val="Frage-Nummerierung1"/>
        <w:widowControl w:val="0"/>
        <w:spacing w:before="0"/>
        <w:ind w:left="1701" w:hanging="1701"/>
      </w:pPr>
      <w:r w:rsidRPr="007E7FCC">
        <w:t>Wie viele Haushalte mit geringem Einkommen haben die Stromspar-helfer der Caritas und die Schuldnerberatungen beziehungsweise andere Organisationen im 3. und 4. Quartal 2023 beraten? Bitte nach Organisationen aufschlüsseln.</w:t>
      </w:r>
    </w:p>
    <w:p w14:paraId="2C299749" w14:textId="77777777" w:rsidR="00D9696A" w:rsidRPr="00D9696A" w:rsidRDefault="00D9696A" w:rsidP="00CF107E">
      <w:pPr>
        <w:widowControl w:val="0"/>
        <w:spacing w:before="240" w:after="120" w:line="240" w:lineRule="auto"/>
        <w:jc w:val="both"/>
        <w:outlineLvl w:val="2"/>
        <w:rPr>
          <w:rFonts w:eastAsia="Arial"/>
          <w:sz w:val="20"/>
          <w:lang w:eastAsia="en-US"/>
        </w:rPr>
      </w:pPr>
      <w:r w:rsidRPr="00D9696A">
        <w:rPr>
          <w:rFonts w:eastAsia="Arial"/>
          <w:sz w:val="20"/>
          <w:lang w:eastAsia="en-US"/>
        </w:rPr>
        <w:t>Energiespar-Beratungen der Caritas:</w:t>
      </w:r>
    </w:p>
    <w:tbl>
      <w:tblPr>
        <w:tblStyle w:val="Tabellenraster15"/>
        <w:tblpPr w:leftFromText="141" w:rightFromText="141" w:vertAnchor="text" w:horzAnchor="page" w:tblpX="1433" w:tblpY="101"/>
        <w:tblW w:w="5000" w:type="pct"/>
        <w:tblLayout w:type="fixed"/>
        <w:tblCellMar>
          <w:top w:w="85" w:type="dxa"/>
          <w:bottom w:w="85" w:type="dxa"/>
        </w:tblCellMar>
        <w:tblLook w:val="04A0" w:firstRow="1" w:lastRow="0" w:firstColumn="1" w:lastColumn="0" w:noHBand="0" w:noVBand="1"/>
      </w:tblPr>
      <w:tblGrid>
        <w:gridCol w:w="2831"/>
        <w:gridCol w:w="6230"/>
      </w:tblGrid>
      <w:tr w:rsidR="00D9696A" w:rsidRPr="00D9696A" w14:paraId="22ED243C" w14:textId="77777777" w:rsidTr="00993E5E">
        <w:trPr>
          <w:trHeight w:val="249"/>
        </w:trPr>
        <w:tc>
          <w:tcPr>
            <w:tcW w:w="1562" w:type="pct"/>
          </w:tcPr>
          <w:p w14:paraId="529DA129" w14:textId="77777777" w:rsidR="00D9696A" w:rsidRPr="00D9696A" w:rsidRDefault="00D9696A" w:rsidP="00CF107E">
            <w:pPr>
              <w:widowControl w:val="0"/>
              <w:spacing w:line="240" w:lineRule="auto"/>
              <w:jc w:val="both"/>
              <w:outlineLvl w:val="2"/>
              <w:rPr>
                <w:sz w:val="20"/>
              </w:rPr>
            </w:pPr>
            <w:r w:rsidRPr="00D9696A">
              <w:rPr>
                <w:sz w:val="20"/>
              </w:rPr>
              <w:t>3. Quartal 2023</w:t>
            </w:r>
          </w:p>
        </w:tc>
        <w:tc>
          <w:tcPr>
            <w:tcW w:w="3438" w:type="pct"/>
            <w:vAlign w:val="center"/>
          </w:tcPr>
          <w:p w14:paraId="043C9357" w14:textId="77777777" w:rsidR="00D9696A" w:rsidRPr="00D9696A" w:rsidRDefault="00D9696A" w:rsidP="00CF107E">
            <w:pPr>
              <w:widowControl w:val="0"/>
              <w:spacing w:line="240" w:lineRule="auto"/>
              <w:jc w:val="center"/>
              <w:outlineLvl w:val="2"/>
              <w:rPr>
                <w:sz w:val="20"/>
              </w:rPr>
            </w:pPr>
            <w:r w:rsidRPr="00D9696A">
              <w:rPr>
                <w:sz w:val="20"/>
              </w:rPr>
              <w:t>136</w:t>
            </w:r>
          </w:p>
        </w:tc>
      </w:tr>
      <w:tr w:rsidR="00D9696A" w:rsidRPr="00D9696A" w14:paraId="08E6F87F" w14:textId="77777777" w:rsidTr="00993E5E">
        <w:trPr>
          <w:trHeight w:val="249"/>
        </w:trPr>
        <w:tc>
          <w:tcPr>
            <w:tcW w:w="1562" w:type="pct"/>
          </w:tcPr>
          <w:p w14:paraId="7E93CB0A" w14:textId="77777777" w:rsidR="00D9696A" w:rsidRPr="00D9696A" w:rsidRDefault="00D9696A" w:rsidP="00CF107E">
            <w:pPr>
              <w:widowControl w:val="0"/>
              <w:spacing w:line="240" w:lineRule="auto"/>
              <w:jc w:val="both"/>
              <w:outlineLvl w:val="2"/>
              <w:rPr>
                <w:sz w:val="20"/>
              </w:rPr>
            </w:pPr>
            <w:r w:rsidRPr="00D9696A">
              <w:rPr>
                <w:sz w:val="20"/>
              </w:rPr>
              <w:t>4. Quartal 2023</w:t>
            </w:r>
          </w:p>
        </w:tc>
        <w:tc>
          <w:tcPr>
            <w:tcW w:w="3438" w:type="pct"/>
            <w:vAlign w:val="center"/>
          </w:tcPr>
          <w:p w14:paraId="06E13626" w14:textId="77777777" w:rsidR="00D9696A" w:rsidRPr="00D9696A" w:rsidRDefault="00D9696A" w:rsidP="00CF107E">
            <w:pPr>
              <w:widowControl w:val="0"/>
              <w:spacing w:line="240" w:lineRule="auto"/>
              <w:jc w:val="center"/>
              <w:outlineLvl w:val="2"/>
              <w:rPr>
                <w:sz w:val="20"/>
              </w:rPr>
            </w:pPr>
            <w:r w:rsidRPr="00D9696A">
              <w:rPr>
                <w:sz w:val="20"/>
              </w:rPr>
              <w:t>124</w:t>
            </w:r>
          </w:p>
        </w:tc>
      </w:tr>
    </w:tbl>
    <w:p w14:paraId="5D350265" w14:textId="77777777" w:rsidR="00F94A8A" w:rsidRDefault="00F94A8A" w:rsidP="00CF107E">
      <w:pPr>
        <w:widowControl w:val="0"/>
        <w:spacing w:line="240" w:lineRule="auto"/>
        <w:jc w:val="both"/>
        <w:outlineLvl w:val="2"/>
        <w:rPr>
          <w:rFonts w:eastAsia="Arial" w:cs="Arial"/>
          <w:sz w:val="20"/>
          <w:lang w:eastAsia="en-US"/>
        </w:rPr>
      </w:pPr>
    </w:p>
    <w:p w14:paraId="01853911" w14:textId="6500727D" w:rsidR="00DB37FB" w:rsidRDefault="00DB37FB" w:rsidP="00CF107E">
      <w:pPr>
        <w:widowControl w:val="0"/>
        <w:spacing w:line="240" w:lineRule="auto"/>
        <w:jc w:val="both"/>
        <w:outlineLvl w:val="2"/>
        <w:rPr>
          <w:rFonts w:eastAsia="Arial" w:cs="Arial"/>
          <w:sz w:val="20"/>
          <w:lang w:eastAsia="en-US"/>
        </w:rPr>
      </w:pPr>
      <w:r>
        <w:rPr>
          <w:rFonts w:eastAsia="Arial" w:cs="Arial"/>
          <w:sz w:val="20"/>
          <w:lang w:eastAsia="en-US"/>
        </w:rPr>
        <w:t>Schuldnerberatungsstellen:</w:t>
      </w:r>
    </w:p>
    <w:p w14:paraId="46C6DBB2" w14:textId="77777777" w:rsidR="00DB37FB" w:rsidRDefault="00DB37FB" w:rsidP="00CF107E">
      <w:pPr>
        <w:widowControl w:val="0"/>
        <w:spacing w:line="240" w:lineRule="auto"/>
        <w:jc w:val="both"/>
        <w:outlineLvl w:val="2"/>
        <w:rPr>
          <w:rFonts w:eastAsia="Arial" w:cs="Arial"/>
          <w:sz w:val="20"/>
          <w:lang w:eastAsia="en-US"/>
        </w:rPr>
      </w:pPr>
    </w:p>
    <w:p w14:paraId="7AC0B131" w14:textId="502DA0F8" w:rsidR="00A20CB1" w:rsidRPr="00A20CB1" w:rsidRDefault="00A20CB1" w:rsidP="00CF107E">
      <w:pPr>
        <w:widowControl w:val="0"/>
        <w:spacing w:line="240" w:lineRule="auto"/>
        <w:jc w:val="both"/>
        <w:outlineLvl w:val="2"/>
        <w:rPr>
          <w:rFonts w:eastAsia="Arial" w:cs="Arial"/>
          <w:sz w:val="20"/>
          <w:lang w:eastAsia="en-US"/>
        </w:rPr>
      </w:pPr>
      <w:r w:rsidRPr="00A20CB1">
        <w:rPr>
          <w:rFonts w:eastAsia="Arial" w:cs="Arial"/>
          <w:sz w:val="20"/>
          <w:lang w:eastAsia="en-US"/>
        </w:rPr>
        <w:t xml:space="preserve">Eine Aufschlüsselung nach Haushalten ist nicht möglich, da nur die Beratungszahlen der verschiedenen Beratungsmodule der öffentlich geförderten Schuldnerberatungsstellen erhoben werden. Ein Haushalt kann mehrere Beratungsmodule in Anspruch genommen haben, so dass eine Mehrfachzählung desselben Haushalts in den nachfolgenden Beratungszahlen möglich ist. </w:t>
      </w:r>
    </w:p>
    <w:p w14:paraId="39CB0179" w14:textId="77777777" w:rsidR="00DB37FB" w:rsidRDefault="00DB37FB" w:rsidP="00CF107E">
      <w:pPr>
        <w:widowControl w:val="0"/>
        <w:spacing w:line="240" w:lineRule="auto"/>
        <w:jc w:val="both"/>
        <w:outlineLvl w:val="2"/>
        <w:rPr>
          <w:rFonts w:eastAsia="Arial" w:cs="Arial"/>
          <w:sz w:val="20"/>
          <w:lang w:eastAsia="en-US"/>
        </w:rPr>
      </w:pPr>
    </w:p>
    <w:p w14:paraId="4D5AAE4B" w14:textId="145FC9BD" w:rsidR="00A20CB1" w:rsidRPr="00A20CB1" w:rsidRDefault="00A20CB1" w:rsidP="00CF107E">
      <w:pPr>
        <w:widowControl w:val="0"/>
        <w:spacing w:line="240" w:lineRule="auto"/>
        <w:jc w:val="both"/>
        <w:outlineLvl w:val="2"/>
        <w:rPr>
          <w:rFonts w:eastAsia="Arial" w:cs="Arial"/>
          <w:sz w:val="20"/>
          <w:lang w:eastAsia="en-US"/>
        </w:rPr>
      </w:pPr>
      <w:r w:rsidRPr="00A20CB1">
        <w:rPr>
          <w:rFonts w:eastAsia="Arial" w:cs="Arial"/>
          <w:sz w:val="20"/>
          <w:lang w:eastAsia="en-US"/>
        </w:rPr>
        <w:t xml:space="preserve">Beratungen in anerkannten </w:t>
      </w:r>
      <w:proofErr w:type="spellStart"/>
      <w:r w:rsidRPr="00A20CB1">
        <w:rPr>
          <w:rFonts w:eastAsia="Arial" w:cs="Arial"/>
          <w:sz w:val="20"/>
          <w:lang w:eastAsia="en-US"/>
        </w:rPr>
        <w:t>ungeförderten</w:t>
      </w:r>
      <w:proofErr w:type="spellEnd"/>
      <w:r w:rsidRPr="00A20CB1">
        <w:rPr>
          <w:rFonts w:eastAsia="Arial" w:cs="Arial"/>
          <w:sz w:val="20"/>
          <w:lang w:eastAsia="en-US"/>
        </w:rPr>
        <w:t xml:space="preserve"> Schuldnerberatungsstellen werden nicht erfasst, dies gilt auch für die Beratungen der hierzu nach dem Gesetz berechtigten weiteren Personen, insbesondere Beratungen von Rechtsanwälten.</w:t>
      </w:r>
    </w:p>
    <w:p w14:paraId="2ADD5913" w14:textId="77777777" w:rsidR="00A20CB1" w:rsidRPr="00A20CB1" w:rsidRDefault="00A20CB1" w:rsidP="00CF107E">
      <w:pPr>
        <w:widowControl w:val="0"/>
        <w:spacing w:line="240" w:lineRule="auto"/>
        <w:jc w:val="both"/>
        <w:outlineLvl w:val="2"/>
        <w:rPr>
          <w:rFonts w:eastAsia="Arial" w:cs="Arial"/>
          <w:sz w:val="20"/>
          <w:lang w:eastAsia="en-US"/>
        </w:rPr>
      </w:pPr>
    </w:p>
    <w:p w14:paraId="08AF01FA" w14:textId="7D732480" w:rsidR="00A20CB1" w:rsidRDefault="00A20CB1" w:rsidP="00CF107E">
      <w:pPr>
        <w:widowControl w:val="0"/>
        <w:spacing w:line="240" w:lineRule="auto"/>
        <w:jc w:val="both"/>
        <w:outlineLvl w:val="2"/>
        <w:rPr>
          <w:rFonts w:eastAsia="Arial" w:cs="Arial"/>
          <w:sz w:val="20"/>
          <w:lang w:eastAsia="en-US"/>
        </w:rPr>
      </w:pPr>
      <w:r w:rsidRPr="00A20CB1">
        <w:rPr>
          <w:rFonts w:eastAsia="Arial" w:cs="Arial"/>
          <w:sz w:val="20"/>
          <w:lang w:eastAsia="en-US"/>
        </w:rPr>
        <w:t>Im dritten Quartal 2023 haben die geförderten Schuldnerberatungsstellen Beratungen in folgender Anzahl durchgeführt:</w:t>
      </w:r>
    </w:p>
    <w:p w14:paraId="454C30B8" w14:textId="16F5E42E" w:rsidR="00DB37FB" w:rsidRDefault="00DB37FB" w:rsidP="00CF107E">
      <w:pPr>
        <w:widowControl w:val="0"/>
        <w:spacing w:line="240" w:lineRule="auto"/>
        <w:jc w:val="both"/>
        <w:outlineLvl w:val="2"/>
        <w:rPr>
          <w:rFonts w:eastAsia="Arial" w:cs="Arial"/>
          <w:sz w:val="20"/>
          <w:lang w:eastAsia="en-US"/>
        </w:rPr>
      </w:pPr>
    </w:p>
    <w:p w14:paraId="723F6A50" w14:textId="05DE6259" w:rsidR="00DB37FB" w:rsidRDefault="00DB37FB" w:rsidP="00CF107E">
      <w:pPr>
        <w:widowControl w:val="0"/>
        <w:spacing w:line="240" w:lineRule="auto"/>
        <w:jc w:val="both"/>
        <w:outlineLvl w:val="2"/>
        <w:rPr>
          <w:rFonts w:eastAsia="Arial" w:cs="Arial"/>
          <w:sz w:val="20"/>
          <w:lang w:eastAsia="en-US"/>
        </w:rPr>
      </w:pPr>
    </w:p>
    <w:tbl>
      <w:tblPr>
        <w:tblStyle w:val="Tabellenraster"/>
        <w:tblW w:w="0" w:type="auto"/>
        <w:tblLook w:val="04A0" w:firstRow="1" w:lastRow="0" w:firstColumn="1" w:lastColumn="0" w:noHBand="0" w:noVBand="1"/>
      </w:tblPr>
      <w:tblGrid>
        <w:gridCol w:w="4530"/>
        <w:gridCol w:w="4531"/>
      </w:tblGrid>
      <w:tr w:rsidR="00DB37FB" w14:paraId="224EFCA1" w14:textId="77777777" w:rsidTr="00DB37FB">
        <w:tc>
          <w:tcPr>
            <w:tcW w:w="4530" w:type="dxa"/>
          </w:tcPr>
          <w:p w14:paraId="62D51309" w14:textId="3F74FC2A" w:rsidR="00DB37FB" w:rsidRPr="00DB37FB" w:rsidRDefault="00DB37FB" w:rsidP="00CF107E">
            <w:pPr>
              <w:widowControl w:val="0"/>
              <w:spacing w:line="240" w:lineRule="auto"/>
              <w:jc w:val="center"/>
              <w:outlineLvl w:val="2"/>
              <w:rPr>
                <w:rFonts w:eastAsia="Arial" w:cs="Arial"/>
                <w:b/>
                <w:sz w:val="20"/>
              </w:rPr>
            </w:pPr>
            <w:r w:rsidRPr="00DB37FB">
              <w:rPr>
                <w:rFonts w:eastAsia="Arial" w:cs="Arial"/>
                <w:b/>
                <w:sz w:val="20"/>
              </w:rPr>
              <w:t>Schuld</w:t>
            </w:r>
            <w:r w:rsidR="003421CD">
              <w:rPr>
                <w:rFonts w:eastAsia="Arial" w:cs="Arial"/>
                <w:b/>
                <w:sz w:val="20"/>
              </w:rPr>
              <w:t>n</w:t>
            </w:r>
            <w:r w:rsidRPr="00DB37FB">
              <w:rPr>
                <w:rFonts w:eastAsia="Arial" w:cs="Arial"/>
                <w:b/>
                <w:sz w:val="20"/>
              </w:rPr>
              <w:t>erberatungsstelle</w:t>
            </w:r>
          </w:p>
        </w:tc>
        <w:tc>
          <w:tcPr>
            <w:tcW w:w="4531" w:type="dxa"/>
          </w:tcPr>
          <w:p w14:paraId="234828B9" w14:textId="009E1BD0" w:rsidR="00DB37FB" w:rsidRPr="00DB37FB" w:rsidRDefault="00DB37FB" w:rsidP="00CF107E">
            <w:pPr>
              <w:widowControl w:val="0"/>
              <w:spacing w:line="240" w:lineRule="auto"/>
              <w:jc w:val="center"/>
              <w:outlineLvl w:val="2"/>
              <w:rPr>
                <w:rFonts w:eastAsia="Arial" w:cs="Arial"/>
                <w:b/>
                <w:sz w:val="20"/>
              </w:rPr>
            </w:pPr>
            <w:r w:rsidRPr="00DB37FB">
              <w:rPr>
                <w:rFonts w:eastAsia="Arial" w:cs="Arial"/>
                <w:b/>
                <w:sz w:val="20"/>
              </w:rPr>
              <w:t>Anzahl der Beratungen</w:t>
            </w:r>
          </w:p>
        </w:tc>
      </w:tr>
      <w:tr w:rsidR="00DB37FB" w14:paraId="16B5ABE9" w14:textId="77777777" w:rsidTr="00DB37FB">
        <w:tc>
          <w:tcPr>
            <w:tcW w:w="4530" w:type="dxa"/>
          </w:tcPr>
          <w:p w14:paraId="2DB548ED" w14:textId="18ED1AD2" w:rsidR="00DB37FB" w:rsidRPr="00DB37FB" w:rsidRDefault="00DB37FB" w:rsidP="00CF107E">
            <w:pPr>
              <w:widowControl w:val="0"/>
              <w:spacing w:line="240" w:lineRule="auto"/>
              <w:jc w:val="center"/>
              <w:outlineLvl w:val="2"/>
              <w:rPr>
                <w:rFonts w:eastAsia="Arial" w:cs="Arial"/>
                <w:sz w:val="20"/>
              </w:rPr>
            </w:pPr>
            <w:proofErr w:type="spellStart"/>
            <w:r w:rsidRPr="00DB37FB">
              <w:rPr>
                <w:rFonts w:eastAsia="Arial" w:cs="Arial"/>
                <w:sz w:val="20"/>
              </w:rPr>
              <w:t>afg</w:t>
            </w:r>
            <w:proofErr w:type="spellEnd"/>
            <w:r w:rsidRPr="00DB37FB">
              <w:rPr>
                <w:rFonts w:eastAsia="Arial" w:cs="Arial"/>
                <w:sz w:val="20"/>
              </w:rPr>
              <w:t xml:space="preserve"> </w:t>
            </w:r>
            <w:proofErr w:type="spellStart"/>
            <w:r w:rsidRPr="00DB37FB">
              <w:rPr>
                <w:rFonts w:eastAsia="Arial" w:cs="Arial"/>
                <w:sz w:val="20"/>
              </w:rPr>
              <w:t>worknet</w:t>
            </w:r>
            <w:proofErr w:type="spellEnd"/>
            <w:r w:rsidRPr="00DB37FB">
              <w:rPr>
                <w:rFonts w:eastAsia="Arial" w:cs="Arial"/>
                <w:sz w:val="20"/>
              </w:rPr>
              <w:t xml:space="preserve"> gGmbH</w:t>
            </w:r>
          </w:p>
        </w:tc>
        <w:tc>
          <w:tcPr>
            <w:tcW w:w="4531" w:type="dxa"/>
          </w:tcPr>
          <w:p w14:paraId="1EBB68F1" w14:textId="01145169" w:rsidR="00DB37FB" w:rsidRPr="00DB37FB" w:rsidRDefault="00DB37FB" w:rsidP="00CF107E">
            <w:pPr>
              <w:widowControl w:val="0"/>
              <w:spacing w:line="240" w:lineRule="auto"/>
              <w:jc w:val="center"/>
              <w:outlineLvl w:val="2"/>
              <w:rPr>
                <w:rFonts w:eastAsia="Arial" w:cs="Arial"/>
                <w:sz w:val="20"/>
              </w:rPr>
            </w:pPr>
            <w:r>
              <w:rPr>
                <w:rFonts w:eastAsia="Arial" w:cs="Arial"/>
                <w:sz w:val="20"/>
              </w:rPr>
              <w:t>886</w:t>
            </w:r>
          </w:p>
        </w:tc>
      </w:tr>
      <w:tr w:rsidR="00DB37FB" w14:paraId="49DDC41C" w14:textId="77777777" w:rsidTr="00DB37FB">
        <w:tc>
          <w:tcPr>
            <w:tcW w:w="4530" w:type="dxa"/>
          </w:tcPr>
          <w:p w14:paraId="6B16E1A0" w14:textId="4DDD66C1" w:rsidR="00DB37FB" w:rsidRPr="00DB37FB" w:rsidRDefault="00DB37FB" w:rsidP="00CF107E">
            <w:pPr>
              <w:widowControl w:val="0"/>
              <w:spacing w:line="240" w:lineRule="auto"/>
              <w:jc w:val="center"/>
              <w:outlineLvl w:val="2"/>
              <w:rPr>
                <w:rFonts w:eastAsia="Arial" w:cs="Arial"/>
                <w:sz w:val="20"/>
              </w:rPr>
            </w:pPr>
            <w:r w:rsidRPr="00DB37FB">
              <w:rPr>
                <w:rFonts w:eastAsia="Arial" w:cs="Arial"/>
                <w:sz w:val="20"/>
              </w:rPr>
              <w:t xml:space="preserve">AWO </w:t>
            </w:r>
            <w:proofErr w:type="spellStart"/>
            <w:r w:rsidRPr="00DB37FB">
              <w:rPr>
                <w:rFonts w:eastAsia="Arial" w:cs="Arial"/>
                <w:sz w:val="20"/>
              </w:rPr>
              <w:t>AQtivus</w:t>
            </w:r>
            <w:proofErr w:type="spellEnd"/>
            <w:r w:rsidRPr="00DB37FB">
              <w:rPr>
                <w:rFonts w:eastAsia="Arial" w:cs="Arial"/>
                <w:sz w:val="20"/>
              </w:rPr>
              <w:t xml:space="preserve"> gGmbH</w:t>
            </w:r>
          </w:p>
        </w:tc>
        <w:tc>
          <w:tcPr>
            <w:tcW w:w="4531" w:type="dxa"/>
          </w:tcPr>
          <w:p w14:paraId="67DAA44B" w14:textId="65E96C79" w:rsidR="00DB37FB" w:rsidRDefault="00DB37FB" w:rsidP="00CF107E">
            <w:pPr>
              <w:widowControl w:val="0"/>
              <w:spacing w:line="240" w:lineRule="auto"/>
              <w:jc w:val="center"/>
              <w:outlineLvl w:val="2"/>
              <w:rPr>
                <w:rFonts w:eastAsia="Arial" w:cs="Arial"/>
                <w:sz w:val="20"/>
              </w:rPr>
            </w:pPr>
            <w:r>
              <w:rPr>
                <w:rFonts w:eastAsia="Arial" w:cs="Arial"/>
                <w:sz w:val="20"/>
              </w:rPr>
              <w:t>306</w:t>
            </w:r>
          </w:p>
        </w:tc>
      </w:tr>
      <w:tr w:rsidR="00DB37FB" w14:paraId="04DC1D1E" w14:textId="77777777" w:rsidTr="00DB37FB">
        <w:tc>
          <w:tcPr>
            <w:tcW w:w="4530" w:type="dxa"/>
          </w:tcPr>
          <w:p w14:paraId="3E04C158" w14:textId="67BDC0D5" w:rsidR="00DB37FB" w:rsidRPr="00DB37FB" w:rsidRDefault="00DB37FB" w:rsidP="00CF107E">
            <w:pPr>
              <w:widowControl w:val="0"/>
              <w:spacing w:line="240" w:lineRule="auto"/>
              <w:jc w:val="center"/>
              <w:outlineLvl w:val="2"/>
              <w:rPr>
                <w:rFonts w:eastAsia="Arial" w:cs="Arial"/>
                <w:sz w:val="20"/>
              </w:rPr>
            </w:pPr>
            <w:r w:rsidRPr="00DB37FB">
              <w:rPr>
                <w:rFonts w:eastAsia="Arial" w:cs="Arial"/>
                <w:sz w:val="20"/>
              </w:rPr>
              <w:t>Diakonisches Werk Hamburg</w:t>
            </w:r>
          </w:p>
        </w:tc>
        <w:tc>
          <w:tcPr>
            <w:tcW w:w="4531" w:type="dxa"/>
          </w:tcPr>
          <w:p w14:paraId="577A2B4D" w14:textId="13A7A74C" w:rsidR="00DB37FB" w:rsidRDefault="00DB37FB" w:rsidP="00CF107E">
            <w:pPr>
              <w:widowControl w:val="0"/>
              <w:spacing w:line="240" w:lineRule="auto"/>
              <w:jc w:val="center"/>
              <w:outlineLvl w:val="2"/>
              <w:rPr>
                <w:rFonts w:eastAsia="Arial" w:cs="Arial"/>
                <w:sz w:val="20"/>
              </w:rPr>
            </w:pPr>
            <w:r>
              <w:rPr>
                <w:rFonts w:eastAsia="Arial" w:cs="Arial"/>
                <w:sz w:val="20"/>
              </w:rPr>
              <w:t>900</w:t>
            </w:r>
          </w:p>
        </w:tc>
      </w:tr>
      <w:tr w:rsidR="00DB37FB" w14:paraId="50C90FCE" w14:textId="77777777" w:rsidTr="00DB37FB">
        <w:tc>
          <w:tcPr>
            <w:tcW w:w="4530" w:type="dxa"/>
          </w:tcPr>
          <w:p w14:paraId="5236F3E1" w14:textId="12D04E4D" w:rsidR="00DB37FB" w:rsidRPr="00DB37FB" w:rsidRDefault="00DB37FB" w:rsidP="00CF107E">
            <w:pPr>
              <w:widowControl w:val="0"/>
              <w:spacing w:line="240" w:lineRule="auto"/>
              <w:jc w:val="center"/>
              <w:outlineLvl w:val="2"/>
              <w:rPr>
                <w:rFonts w:eastAsia="Arial" w:cs="Arial"/>
                <w:sz w:val="20"/>
              </w:rPr>
            </w:pPr>
            <w:proofErr w:type="spellStart"/>
            <w:r w:rsidRPr="00DB37FB">
              <w:rPr>
                <w:rFonts w:eastAsia="Arial" w:cs="Arial"/>
                <w:sz w:val="20"/>
              </w:rPr>
              <w:t>hamburger</w:t>
            </w:r>
            <w:proofErr w:type="spellEnd"/>
            <w:r w:rsidRPr="00DB37FB">
              <w:rPr>
                <w:rFonts w:eastAsia="Arial" w:cs="Arial"/>
                <w:sz w:val="20"/>
              </w:rPr>
              <w:t xml:space="preserve"> </w:t>
            </w:r>
            <w:proofErr w:type="spellStart"/>
            <w:r w:rsidRPr="00DB37FB">
              <w:rPr>
                <w:rFonts w:eastAsia="Arial" w:cs="Arial"/>
                <w:sz w:val="20"/>
              </w:rPr>
              <w:t>arbeit</w:t>
            </w:r>
            <w:proofErr w:type="spellEnd"/>
          </w:p>
        </w:tc>
        <w:tc>
          <w:tcPr>
            <w:tcW w:w="4531" w:type="dxa"/>
          </w:tcPr>
          <w:p w14:paraId="2136DD00" w14:textId="6B8214FD" w:rsidR="00DB37FB" w:rsidRDefault="00DB37FB" w:rsidP="00CF107E">
            <w:pPr>
              <w:widowControl w:val="0"/>
              <w:spacing w:line="240" w:lineRule="auto"/>
              <w:jc w:val="center"/>
              <w:outlineLvl w:val="2"/>
              <w:rPr>
                <w:rFonts w:eastAsia="Arial" w:cs="Arial"/>
                <w:sz w:val="20"/>
              </w:rPr>
            </w:pPr>
            <w:r>
              <w:rPr>
                <w:rFonts w:eastAsia="Arial" w:cs="Arial"/>
                <w:sz w:val="20"/>
              </w:rPr>
              <w:t>512</w:t>
            </w:r>
          </w:p>
        </w:tc>
      </w:tr>
      <w:tr w:rsidR="00DB37FB" w14:paraId="37FC68EE" w14:textId="77777777" w:rsidTr="00DB37FB">
        <w:tc>
          <w:tcPr>
            <w:tcW w:w="4530" w:type="dxa"/>
          </w:tcPr>
          <w:p w14:paraId="35E67CAD" w14:textId="5AB432C3" w:rsidR="00DB37FB" w:rsidRPr="00DB37FB" w:rsidRDefault="00DB37FB" w:rsidP="00CF107E">
            <w:pPr>
              <w:widowControl w:val="0"/>
              <w:spacing w:line="240" w:lineRule="auto"/>
              <w:jc w:val="center"/>
              <w:outlineLvl w:val="2"/>
              <w:rPr>
                <w:rFonts w:eastAsia="Arial" w:cs="Arial"/>
                <w:sz w:val="20"/>
              </w:rPr>
            </w:pPr>
            <w:r w:rsidRPr="00DB37FB">
              <w:rPr>
                <w:rFonts w:eastAsia="Arial" w:cs="Arial"/>
                <w:sz w:val="20"/>
              </w:rPr>
              <w:t>Schuldenhilfe Sofort e.V.</w:t>
            </w:r>
          </w:p>
        </w:tc>
        <w:tc>
          <w:tcPr>
            <w:tcW w:w="4531" w:type="dxa"/>
          </w:tcPr>
          <w:p w14:paraId="6649CAF8" w14:textId="06BEF565" w:rsidR="00DB37FB" w:rsidRDefault="00DB37FB" w:rsidP="00CF107E">
            <w:pPr>
              <w:widowControl w:val="0"/>
              <w:spacing w:line="240" w:lineRule="auto"/>
              <w:jc w:val="center"/>
              <w:outlineLvl w:val="2"/>
              <w:rPr>
                <w:rFonts w:eastAsia="Arial" w:cs="Arial"/>
                <w:sz w:val="20"/>
              </w:rPr>
            </w:pPr>
            <w:r>
              <w:rPr>
                <w:rFonts w:eastAsia="Arial" w:cs="Arial"/>
                <w:sz w:val="20"/>
              </w:rPr>
              <w:t>682</w:t>
            </w:r>
          </w:p>
        </w:tc>
      </w:tr>
      <w:tr w:rsidR="00DB37FB" w14:paraId="176772EB" w14:textId="77777777" w:rsidTr="00DB37FB">
        <w:tc>
          <w:tcPr>
            <w:tcW w:w="4530" w:type="dxa"/>
          </w:tcPr>
          <w:p w14:paraId="362D150C" w14:textId="2F641CAD" w:rsidR="00DB37FB" w:rsidRPr="00DB37FB" w:rsidRDefault="00DB37FB" w:rsidP="00CF107E">
            <w:pPr>
              <w:widowControl w:val="0"/>
              <w:spacing w:line="240" w:lineRule="auto"/>
              <w:jc w:val="center"/>
              <w:outlineLvl w:val="2"/>
              <w:rPr>
                <w:rFonts w:eastAsia="Arial" w:cs="Arial"/>
                <w:sz w:val="20"/>
              </w:rPr>
            </w:pPr>
            <w:r w:rsidRPr="00DB37FB">
              <w:rPr>
                <w:rFonts w:eastAsia="Arial" w:cs="Arial"/>
                <w:sz w:val="20"/>
              </w:rPr>
              <w:t>Deutsches Rotes Kreuz</w:t>
            </w:r>
          </w:p>
        </w:tc>
        <w:tc>
          <w:tcPr>
            <w:tcW w:w="4531" w:type="dxa"/>
          </w:tcPr>
          <w:p w14:paraId="7A8D3CEE" w14:textId="5240A05F" w:rsidR="00DB37FB" w:rsidRDefault="00DB37FB" w:rsidP="00CF107E">
            <w:pPr>
              <w:widowControl w:val="0"/>
              <w:spacing w:line="240" w:lineRule="auto"/>
              <w:jc w:val="center"/>
              <w:outlineLvl w:val="2"/>
              <w:rPr>
                <w:rFonts w:eastAsia="Arial" w:cs="Arial"/>
                <w:sz w:val="20"/>
              </w:rPr>
            </w:pPr>
            <w:r>
              <w:rPr>
                <w:rFonts w:eastAsia="Arial" w:cs="Arial"/>
                <w:sz w:val="20"/>
              </w:rPr>
              <w:t>767</w:t>
            </w:r>
          </w:p>
        </w:tc>
      </w:tr>
      <w:tr w:rsidR="00DB37FB" w14:paraId="3DCC6DC7" w14:textId="77777777" w:rsidTr="00DB37FB">
        <w:tc>
          <w:tcPr>
            <w:tcW w:w="4530" w:type="dxa"/>
          </w:tcPr>
          <w:p w14:paraId="59F3EF10" w14:textId="688CBBEF" w:rsidR="00DB37FB" w:rsidRPr="00DB37FB" w:rsidRDefault="00DB37FB" w:rsidP="00CF107E">
            <w:pPr>
              <w:widowControl w:val="0"/>
              <w:spacing w:line="240" w:lineRule="auto"/>
              <w:jc w:val="center"/>
              <w:outlineLvl w:val="2"/>
              <w:rPr>
                <w:rFonts w:eastAsia="Arial" w:cs="Arial"/>
                <w:sz w:val="20"/>
              </w:rPr>
            </w:pPr>
            <w:r>
              <w:rPr>
                <w:rFonts w:eastAsia="Arial" w:cs="Arial"/>
                <w:sz w:val="20"/>
              </w:rPr>
              <w:t>VZHH</w:t>
            </w:r>
          </w:p>
        </w:tc>
        <w:tc>
          <w:tcPr>
            <w:tcW w:w="4531" w:type="dxa"/>
          </w:tcPr>
          <w:p w14:paraId="7E271E90" w14:textId="624E24E9" w:rsidR="00DB37FB" w:rsidRDefault="00DB37FB" w:rsidP="00CF107E">
            <w:pPr>
              <w:widowControl w:val="0"/>
              <w:spacing w:line="240" w:lineRule="auto"/>
              <w:jc w:val="center"/>
              <w:outlineLvl w:val="2"/>
              <w:rPr>
                <w:rFonts w:eastAsia="Arial" w:cs="Arial"/>
                <w:sz w:val="20"/>
              </w:rPr>
            </w:pPr>
            <w:r>
              <w:rPr>
                <w:rFonts w:eastAsia="Arial" w:cs="Arial"/>
                <w:sz w:val="20"/>
              </w:rPr>
              <w:t>949</w:t>
            </w:r>
          </w:p>
        </w:tc>
      </w:tr>
    </w:tbl>
    <w:p w14:paraId="51E89DD2" w14:textId="77777777" w:rsidR="00DB37FB" w:rsidRDefault="00DB37FB" w:rsidP="00CF107E">
      <w:pPr>
        <w:widowControl w:val="0"/>
        <w:spacing w:line="240" w:lineRule="auto"/>
        <w:outlineLvl w:val="2"/>
        <w:rPr>
          <w:rFonts w:eastAsia="Arial" w:cs="Arial"/>
          <w:sz w:val="20"/>
          <w:lang w:eastAsia="en-US"/>
        </w:rPr>
      </w:pPr>
    </w:p>
    <w:p w14:paraId="2C6E82EE" w14:textId="62D75A7D" w:rsidR="00DB37FB" w:rsidRDefault="00DB37FB" w:rsidP="00CF107E">
      <w:pPr>
        <w:widowControl w:val="0"/>
        <w:spacing w:line="240" w:lineRule="auto"/>
        <w:outlineLvl w:val="2"/>
        <w:rPr>
          <w:rFonts w:eastAsia="Arial" w:cs="Arial"/>
          <w:sz w:val="20"/>
          <w:lang w:eastAsia="en-US"/>
        </w:rPr>
      </w:pPr>
      <w:r w:rsidRPr="00DB37FB">
        <w:rPr>
          <w:rFonts w:eastAsia="Arial" w:cs="Arial"/>
          <w:sz w:val="20"/>
          <w:lang w:eastAsia="en-US"/>
        </w:rPr>
        <w:t>Im vierten Quartal 2023 haben die geförderten Schuldnerberatungsstellen Beratungen in folgender Anzahl durchgeführt:</w:t>
      </w:r>
    </w:p>
    <w:p w14:paraId="7AB75C60" w14:textId="675FCF73" w:rsidR="00DB37FB" w:rsidRDefault="00DB37FB" w:rsidP="00CF107E">
      <w:pPr>
        <w:widowControl w:val="0"/>
        <w:spacing w:line="240" w:lineRule="auto"/>
        <w:outlineLvl w:val="2"/>
        <w:rPr>
          <w:rFonts w:eastAsia="Arial" w:cs="Arial"/>
          <w:sz w:val="20"/>
          <w:lang w:eastAsia="en-US"/>
        </w:rPr>
      </w:pPr>
    </w:p>
    <w:tbl>
      <w:tblPr>
        <w:tblStyle w:val="Tabellenraster"/>
        <w:tblW w:w="0" w:type="auto"/>
        <w:tblLook w:val="04A0" w:firstRow="1" w:lastRow="0" w:firstColumn="1" w:lastColumn="0" w:noHBand="0" w:noVBand="1"/>
      </w:tblPr>
      <w:tblGrid>
        <w:gridCol w:w="4530"/>
        <w:gridCol w:w="4531"/>
      </w:tblGrid>
      <w:tr w:rsidR="00DB37FB" w:rsidRPr="00DB37FB" w14:paraId="78CE4ADC" w14:textId="77777777" w:rsidTr="00D764AC">
        <w:tc>
          <w:tcPr>
            <w:tcW w:w="4530" w:type="dxa"/>
          </w:tcPr>
          <w:p w14:paraId="107DFFF2" w14:textId="6B0CDDDD" w:rsidR="00DB37FB" w:rsidRPr="00DB37FB" w:rsidRDefault="00DB37FB" w:rsidP="00CF107E">
            <w:pPr>
              <w:widowControl w:val="0"/>
              <w:spacing w:line="240" w:lineRule="auto"/>
              <w:jc w:val="center"/>
              <w:outlineLvl w:val="2"/>
              <w:rPr>
                <w:rFonts w:eastAsia="Arial" w:cs="Arial"/>
                <w:b/>
                <w:sz w:val="20"/>
              </w:rPr>
            </w:pPr>
            <w:bookmarkStart w:id="1" w:name="_Hlk156549431"/>
            <w:r w:rsidRPr="00DB37FB">
              <w:rPr>
                <w:rFonts w:eastAsia="Arial" w:cs="Arial"/>
                <w:b/>
                <w:sz w:val="20"/>
              </w:rPr>
              <w:t>Schuld</w:t>
            </w:r>
            <w:r w:rsidR="003421CD">
              <w:rPr>
                <w:rFonts w:eastAsia="Arial" w:cs="Arial"/>
                <w:b/>
                <w:sz w:val="20"/>
              </w:rPr>
              <w:t>n</w:t>
            </w:r>
            <w:r w:rsidRPr="00DB37FB">
              <w:rPr>
                <w:rFonts w:eastAsia="Arial" w:cs="Arial"/>
                <w:b/>
                <w:sz w:val="20"/>
              </w:rPr>
              <w:t>erberatungsstelle</w:t>
            </w:r>
          </w:p>
        </w:tc>
        <w:tc>
          <w:tcPr>
            <w:tcW w:w="4531" w:type="dxa"/>
          </w:tcPr>
          <w:p w14:paraId="4CD09418" w14:textId="77777777" w:rsidR="00DB37FB" w:rsidRPr="00DB37FB" w:rsidRDefault="00DB37FB" w:rsidP="00CF107E">
            <w:pPr>
              <w:widowControl w:val="0"/>
              <w:spacing w:line="240" w:lineRule="auto"/>
              <w:jc w:val="center"/>
              <w:outlineLvl w:val="2"/>
              <w:rPr>
                <w:rFonts w:eastAsia="Arial" w:cs="Arial"/>
                <w:b/>
                <w:sz w:val="20"/>
              </w:rPr>
            </w:pPr>
            <w:r w:rsidRPr="00DB37FB">
              <w:rPr>
                <w:rFonts w:eastAsia="Arial" w:cs="Arial"/>
                <w:b/>
                <w:sz w:val="20"/>
              </w:rPr>
              <w:t>Anzahl der Beratungen</w:t>
            </w:r>
          </w:p>
        </w:tc>
      </w:tr>
      <w:tr w:rsidR="00DB37FB" w:rsidRPr="00DB37FB" w14:paraId="767CCB36" w14:textId="77777777" w:rsidTr="00D764AC">
        <w:tc>
          <w:tcPr>
            <w:tcW w:w="4530" w:type="dxa"/>
          </w:tcPr>
          <w:p w14:paraId="1D1ADA94" w14:textId="77777777" w:rsidR="00DB37FB" w:rsidRPr="00DB37FB" w:rsidRDefault="00DB37FB" w:rsidP="00CF107E">
            <w:pPr>
              <w:widowControl w:val="0"/>
              <w:spacing w:line="240" w:lineRule="auto"/>
              <w:jc w:val="center"/>
              <w:outlineLvl w:val="2"/>
              <w:rPr>
                <w:rFonts w:eastAsia="Arial" w:cs="Arial"/>
                <w:sz w:val="20"/>
              </w:rPr>
            </w:pPr>
            <w:proofErr w:type="spellStart"/>
            <w:r w:rsidRPr="00DB37FB">
              <w:rPr>
                <w:rFonts w:eastAsia="Arial" w:cs="Arial"/>
                <w:sz w:val="20"/>
              </w:rPr>
              <w:t>afg</w:t>
            </w:r>
            <w:proofErr w:type="spellEnd"/>
            <w:r w:rsidRPr="00DB37FB">
              <w:rPr>
                <w:rFonts w:eastAsia="Arial" w:cs="Arial"/>
                <w:sz w:val="20"/>
              </w:rPr>
              <w:t xml:space="preserve"> </w:t>
            </w:r>
            <w:proofErr w:type="spellStart"/>
            <w:r w:rsidRPr="00DB37FB">
              <w:rPr>
                <w:rFonts w:eastAsia="Arial" w:cs="Arial"/>
                <w:sz w:val="20"/>
              </w:rPr>
              <w:t>worknet</w:t>
            </w:r>
            <w:proofErr w:type="spellEnd"/>
            <w:r w:rsidRPr="00DB37FB">
              <w:rPr>
                <w:rFonts w:eastAsia="Arial" w:cs="Arial"/>
                <w:sz w:val="20"/>
              </w:rPr>
              <w:t xml:space="preserve"> gGmbH</w:t>
            </w:r>
          </w:p>
        </w:tc>
        <w:tc>
          <w:tcPr>
            <w:tcW w:w="4531" w:type="dxa"/>
          </w:tcPr>
          <w:p w14:paraId="2A400E99" w14:textId="0DAAC81F" w:rsidR="00DB37FB" w:rsidRPr="00DB37FB" w:rsidRDefault="00DB37FB" w:rsidP="00CF107E">
            <w:pPr>
              <w:widowControl w:val="0"/>
              <w:spacing w:line="240" w:lineRule="auto"/>
              <w:jc w:val="center"/>
              <w:outlineLvl w:val="2"/>
              <w:rPr>
                <w:rFonts w:eastAsia="Arial" w:cs="Arial"/>
                <w:sz w:val="20"/>
              </w:rPr>
            </w:pPr>
            <w:r>
              <w:rPr>
                <w:rFonts w:eastAsia="Arial" w:cs="Arial"/>
                <w:sz w:val="20"/>
              </w:rPr>
              <w:t>881</w:t>
            </w:r>
          </w:p>
        </w:tc>
      </w:tr>
      <w:tr w:rsidR="00DB37FB" w14:paraId="2230AD4F" w14:textId="77777777" w:rsidTr="00D764AC">
        <w:tc>
          <w:tcPr>
            <w:tcW w:w="4530" w:type="dxa"/>
          </w:tcPr>
          <w:p w14:paraId="2C8CC955" w14:textId="77777777" w:rsidR="00DB37FB" w:rsidRPr="00DB37FB" w:rsidRDefault="00DB37FB" w:rsidP="00CF107E">
            <w:pPr>
              <w:widowControl w:val="0"/>
              <w:spacing w:line="240" w:lineRule="auto"/>
              <w:jc w:val="center"/>
              <w:outlineLvl w:val="2"/>
              <w:rPr>
                <w:rFonts w:eastAsia="Arial" w:cs="Arial"/>
                <w:sz w:val="20"/>
              </w:rPr>
            </w:pPr>
            <w:r w:rsidRPr="00DB37FB">
              <w:rPr>
                <w:rFonts w:eastAsia="Arial" w:cs="Arial"/>
                <w:sz w:val="20"/>
              </w:rPr>
              <w:t xml:space="preserve">AWO </w:t>
            </w:r>
            <w:proofErr w:type="spellStart"/>
            <w:r w:rsidRPr="00DB37FB">
              <w:rPr>
                <w:rFonts w:eastAsia="Arial" w:cs="Arial"/>
                <w:sz w:val="20"/>
              </w:rPr>
              <w:t>AQtivus</w:t>
            </w:r>
            <w:proofErr w:type="spellEnd"/>
            <w:r w:rsidRPr="00DB37FB">
              <w:rPr>
                <w:rFonts w:eastAsia="Arial" w:cs="Arial"/>
                <w:sz w:val="20"/>
              </w:rPr>
              <w:t xml:space="preserve"> gGmbH</w:t>
            </w:r>
          </w:p>
        </w:tc>
        <w:tc>
          <w:tcPr>
            <w:tcW w:w="4531" w:type="dxa"/>
          </w:tcPr>
          <w:p w14:paraId="30149F51" w14:textId="0713C2D3" w:rsidR="00DB37FB" w:rsidRDefault="00DB37FB" w:rsidP="00CF107E">
            <w:pPr>
              <w:widowControl w:val="0"/>
              <w:spacing w:line="240" w:lineRule="auto"/>
              <w:jc w:val="center"/>
              <w:outlineLvl w:val="2"/>
              <w:rPr>
                <w:rFonts w:eastAsia="Arial" w:cs="Arial"/>
                <w:sz w:val="20"/>
              </w:rPr>
            </w:pPr>
            <w:r>
              <w:rPr>
                <w:rFonts w:eastAsia="Arial" w:cs="Arial"/>
                <w:sz w:val="20"/>
              </w:rPr>
              <w:t>172</w:t>
            </w:r>
          </w:p>
        </w:tc>
      </w:tr>
      <w:tr w:rsidR="00DB37FB" w14:paraId="7CF6D9A0" w14:textId="77777777" w:rsidTr="00D764AC">
        <w:tc>
          <w:tcPr>
            <w:tcW w:w="4530" w:type="dxa"/>
          </w:tcPr>
          <w:p w14:paraId="40758318" w14:textId="77777777" w:rsidR="00DB37FB" w:rsidRPr="00DB37FB" w:rsidRDefault="00DB37FB" w:rsidP="00CF107E">
            <w:pPr>
              <w:widowControl w:val="0"/>
              <w:spacing w:line="240" w:lineRule="auto"/>
              <w:jc w:val="center"/>
              <w:outlineLvl w:val="2"/>
              <w:rPr>
                <w:rFonts w:eastAsia="Arial" w:cs="Arial"/>
                <w:sz w:val="20"/>
              </w:rPr>
            </w:pPr>
            <w:r w:rsidRPr="00DB37FB">
              <w:rPr>
                <w:rFonts w:eastAsia="Arial" w:cs="Arial"/>
                <w:sz w:val="20"/>
              </w:rPr>
              <w:t>Diakonisches Werk Hamburg</w:t>
            </w:r>
          </w:p>
        </w:tc>
        <w:tc>
          <w:tcPr>
            <w:tcW w:w="4531" w:type="dxa"/>
          </w:tcPr>
          <w:p w14:paraId="77330FEC" w14:textId="2F0394FE" w:rsidR="00DB37FB" w:rsidRDefault="00DB37FB" w:rsidP="00CF107E">
            <w:pPr>
              <w:widowControl w:val="0"/>
              <w:spacing w:line="240" w:lineRule="auto"/>
              <w:jc w:val="center"/>
              <w:outlineLvl w:val="2"/>
              <w:rPr>
                <w:rFonts w:eastAsia="Arial" w:cs="Arial"/>
                <w:sz w:val="20"/>
              </w:rPr>
            </w:pPr>
            <w:r>
              <w:rPr>
                <w:rFonts w:eastAsia="Arial" w:cs="Arial"/>
                <w:sz w:val="20"/>
              </w:rPr>
              <w:t>840</w:t>
            </w:r>
          </w:p>
        </w:tc>
      </w:tr>
      <w:tr w:rsidR="00DB37FB" w14:paraId="7CE87191" w14:textId="77777777" w:rsidTr="00D764AC">
        <w:tc>
          <w:tcPr>
            <w:tcW w:w="4530" w:type="dxa"/>
          </w:tcPr>
          <w:p w14:paraId="2507C9EF" w14:textId="77777777" w:rsidR="00DB37FB" w:rsidRPr="00DB37FB" w:rsidRDefault="00DB37FB" w:rsidP="00CF107E">
            <w:pPr>
              <w:widowControl w:val="0"/>
              <w:spacing w:line="240" w:lineRule="auto"/>
              <w:jc w:val="center"/>
              <w:outlineLvl w:val="2"/>
              <w:rPr>
                <w:rFonts w:eastAsia="Arial" w:cs="Arial"/>
                <w:sz w:val="20"/>
              </w:rPr>
            </w:pPr>
            <w:proofErr w:type="spellStart"/>
            <w:r w:rsidRPr="00DB37FB">
              <w:rPr>
                <w:rFonts w:eastAsia="Arial" w:cs="Arial"/>
                <w:sz w:val="20"/>
              </w:rPr>
              <w:t>hamburger</w:t>
            </w:r>
            <w:proofErr w:type="spellEnd"/>
            <w:r w:rsidRPr="00DB37FB">
              <w:rPr>
                <w:rFonts w:eastAsia="Arial" w:cs="Arial"/>
                <w:sz w:val="20"/>
              </w:rPr>
              <w:t xml:space="preserve"> </w:t>
            </w:r>
            <w:proofErr w:type="spellStart"/>
            <w:r w:rsidRPr="00DB37FB">
              <w:rPr>
                <w:rFonts w:eastAsia="Arial" w:cs="Arial"/>
                <w:sz w:val="20"/>
              </w:rPr>
              <w:t>arbeit</w:t>
            </w:r>
            <w:proofErr w:type="spellEnd"/>
          </w:p>
        </w:tc>
        <w:tc>
          <w:tcPr>
            <w:tcW w:w="4531" w:type="dxa"/>
          </w:tcPr>
          <w:p w14:paraId="36DAA493" w14:textId="40F99364" w:rsidR="00DB37FB" w:rsidRDefault="00DB37FB" w:rsidP="00CF107E">
            <w:pPr>
              <w:widowControl w:val="0"/>
              <w:spacing w:line="240" w:lineRule="auto"/>
              <w:jc w:val="center"/>
              <w:outlineLvl w:val="2"/>
              <w:rPr>
                <w:rFonts w:eastAsia="Arial" w:cs="Arial"/>
                <w:sz w:val="20"/>
              </w:rPr>
            </w:pPr>
            <w:r>
              <w:rPr>
                <w:rFonts w:eastAsia="Arial" w:cs="Arial"/>
                <w:sz w:val="20"/>
              </w:rPr>
              <w:t>530</w:t>
            </w:r>
          </w:p>
        </w:tc>
      </w:tr>
      <w:tr w:rsidR="00DB37FB" w14:paraId="4AD17BD2" w14:textId="77777777" w:rsidTr="00D764AC">
        <w:tc>
          <w:tcPr>
            <w:tcW w:w="4530" w:type="dxa"/>
          </w:tcPr>
          <w:p w14:paraId="7C59C387" w14:textId="77777777" w:rsidR="00DB37FB" w:rsidRPr="00DB37FB" w:rsidRDefault="00DB37FB" w:rsidP="00CF107E">
            <w:pPr>
              <w:widowControl w:val="0"/>
              <w:spacing w:line="240" w:lineRule="auto"/>
              <w:jc w:val="center"/>
              <w:outlineLvl w:val="2"/>
              <w:rPr>
                <w:rFonts w:eastAsia="Arial" w:cs="Arial"/>
                <w:sz w:val="20"/>
              </w:rPr>
            </w:pPr>
            <w:r w:rsidRPr="00DB37FB">
              <w:rPr>
                <w:rFonts w:eastAsia="Arial" w:cs="Arial"/>
                <w:sz w:val="20"/>
              </w:rPr>
              <w:t>Schuldenhilfe Sofort e.V.</w:t>
            </w:r>
          </w:p>
        </w:tc>
        <w:tc>
          <w:tcPr>
            <w:tcW w:w="4531" w:type="dxa"/>
          </w:tcPr>
          <w:p w14:paraId="1AAF1BFD" w14:textId="2FC68957" w:rsidR="00DB37FB" w:rsidRDefault="00DB37FB" w:rsidP="00CF107E">
            <w:pPr>
              <w:widowControl w:val="0"/>
              <w:spacing w:line="240" w:lineRule="auto"/>
              <w:jc w:val="center"/>
              <w:outlineLvl w:val="2"/>
              <w:rPr>
                <w:rFonts w:eastAsia="Arial" w:cs="Arial"/>
                <w:sz w:val="20"/>
              </w:rPr>
            </w:pPr>
            <w:r>
              <w:rPr>
                <w:rFonts w:eastAsia="Arial" w:cs="Arial"/>
                <w:sz w:val="20"/>
              </w:rPr>
              <w:t>637</w:t>
            </w:r>
          </w:p>
        </w:tc>
      </w:tr>
      <w:tr w:rsidR="00DB37FB" w14:paraId="09F33B4F" w14:textId="77777777" w:rsidTr="00D764AC">
        <w:tc>
          <w:tcPr>
            <w:tcW w:w="4530" w:type="dxa"/>
          </w:tcPr>
          <w:p w14:paraId="618808FE" w14:textId="77777777" w:rsidR="00DB37FB" w:rsidRPr="00DB37FB" w:rsidRDefault="00DB37FB" w:rsidP="00CF107E">
            <w:pPr>
              <w:widowControl w:val="0"/>
              <w:spacing w:line="240" w:lineRule="auto"/>
              <w:jc w:val="center"/>
              <w:outlineLvl w:val="2"/>
              <w:rPr>
                <w:rFonts w:eastAsia="Arial" w:cs="Arial"/>
                <w:sz w:val="20"/>
              </w:rPr>
            </w:pPr>
            <w:r w:rsidRPr="00DB37FB">
              <w:rPr>
                <w:rFonts w:eastAsia="Arial" w:cs="Arial"/>
                <w:sz w:val="20"/>
              </w:rPr>
              <w:t>Deutsches Rotes Kreuz</w:t>
            </w:r>
          </w:p>
        </w:tc>
        <w:tc>
          <w:tcPr>
            <w:tcW w:w="4531" w:type="dxa"/>
          </w:tcPr>
          <w:p w14:paraId="3ACDF315" w14:textId="3944ECD6" w:rsidR="00DB37FB" w:rsidRDefault="00DB37FB" w:rsidP="00CF107E">
            <w:pPr>
              <w:widowControl w:val="0"/>
              <w:spacing w:line="240" w:lineRule="auto"/>
              <w:jc w:val="center"/>
              <w:outlineLvl w:val="2"/>
              <w:rPr>
                <w:rFonts w:eastAsia="Arial" w:cs="Arial"/>
                <w:sz w:val="20"/>
              </w:rPr>
            </w:pPr>
            <w:r>
              <w:rPr>
                <w:rFonts w:eastAsia="Arial" w:cs="Arial"/>
                <w:sz w:val="20"/>
              </w:rPr>
              <w:t>730</w:t>
            </w:r>
          </w:p>
        </w:tc>
      </w:tr>
      <w:tr w:rsidR="00DB37FB" w14:paraId="6078ADBB" w14:textId="77777777" w:rsidTr="00D764AC">
        <w:tc>
          <w:tcPr>
            <w:tcW w:w="4530" w:type="dxa"/>
          </w:tcPr>
          <w:p w14:paraId="5336EE89" w14:textId="77777777" w:rsidR="00DB37FB" w:rsidRPr="00DB37FB" w:rsidRDefault="00DB37FB" w:rsidP="00CF107E">
            <w:pPr>
              <w:widowControl w:val="0"/>
              <w:spacing w:line="240" w:lineRule="auto"/>
              <w:jc w:val="center"/>
              <w:outlineLvl w:val="2"/>
              <w:rPr>
                <w:rFonts w:eastAsia="Arial" w:cs="Arial"/>
                <w:sz w:val="20"/>
              </w:rPr>
            </w:pPr>
            <w:r>
              <w:rPr>
                <w:rFonts w:eastAsia="Arial" w:cs="Arial"/>
                <w:sz w:val="20"/>
              </w:rPr>
              <w:t>VZHH</w:t>
            </w:r>
          </w:p>
        </w:tc>
        <w:tc>
          <w:tcPr>
            <w:tcW w:w="4531" w:type="dxa"/>
          </w:tcPr>
          <w:p w14:paraId="7D69D761" w14:textId="27F3623B" w:rsidR="00DB37FB" w:rsidRDefault="00DB37FB" w:rsidP="00CF107E">
            <w:pPr>
              <w:widowControl w:val="0"/>
              <w:spacing w:line="240" w:lineRule="auto"/>
              <w:jc w:val="center"/>
              <w:outlineLvl w:val="2"/>
              <w:rPr>
                <w:rFonts w:eastAsia="Arial" w:cs="Arial"/>
                <w:sz w:val="20"/>
              </w:rPr>
            </w:pPr>
            <w:r>
              <w:rPr>
                <w:rFonts w:eastAsia="Arial" w:cs="Arial"/>
                <w:sz w:val="20"/>
              </w:rPr>
              <w:t>1047</w:t>
            </w:r>
          </w:p>
        </w:tc>
      </w:tr>
      <w:bookmarkEnd w:id="1"/>
    </w:tbl>
    <w:p w14:paraId="53E1C2EC" w14:textId="77777777" w:rsidR="00DB37FB" w:rsidRPr="007E7FCC" w:rsidRDefault="00DB37FB" w:rsidP="00CF107E">
      <w:pPr>
        <w:pStyle w:val="Frage-Nummerierung1"/>
        <w:widowControl w:val="0"/>
        <w:numPr>
          <w:ilvl w:val="0"/>
          <w:numId w:val="0"/>
        </w:numPr>
        <w:spacing w:before="0"/>
      </w:pPr>
    </w:p>
    <w:p w14:paraId="3755935A" w14:textId="75E51B07" w:rsidR="007E7FCC" w:rsidRDefault="007E7FCC" w:rsidP="00CF107E">
      <w:pPr>
        <w:pStyle w:val="Frage-Nummerierung1"/>
        <w:widowControl w:val="0"/>
        <w:spacing w:before="0"/>
        <w:ind w:left="1701" w:hanging="1701"/>
      </w:pPr>
      <w:r w:rsidRPr="007E7FCC">
        <w:t>Wie viele Haushalte hat die Verbraucherzentrale Hamburg im 3. und 4. Quartal 2023 im Bereich Gas- und Strompreisrecht beraten? Bitte immer quartalsweise benennen.</w:t>
      </w:r>
    </w:p>
    <w:p w14:paraId="714AC663" w14:textId="5CA9C511" w:rsidR="00D9696A" w:rsidRDefault="00D9696A" w:rsidP="00CF107E">
      <w:pPr>
        <w:pStyle w:val="Frage-Nummerierung1"/>
        <w:widowControl w:val="0"/>
        <w:numPr>
          <w:ilvl w:val="0"/>
          <w:numId w:val="0"/>
        </w:numPr>
        <w:spacing w:before="0"/>
        <w:ind w:left="1588" w:hanging="1588"/>
      </w:pPr>
    </w:p>
    <w:p w14:paraId="2EA199E5" w14:textId="118CF577" w:rsidR="00D9696A" w:rsidRPr="00D9696A" w:rsidRDefault="00D9696A" w:rsidP="00CF107E">
      <w:pPr>
        <w:widowControl w:val="0"/>
        <w:spacing w:before="120" w:line="240" w:lineRule="auto"/>
        <w:jc w:val="both"/>
        <w:outlineLvl w:val="2"/>
        <w:rPr>
          <w:rFonts w:eastAsia="Arial"/>
          <w:sz w:val="20"/>
          <w:lang w:eastAsia="en-US"/>
        </w:rPr>
      </w:pPr>
      <w:r w:rsidRPr="00D9696A">
        <w:rPr>
          <w:rFonts w:eastAsia="Arial"/>
          <w:sz w:val="20"/>
          <w:lang w:eastAsia="en-US"/>
        </w:rPr>
        <w:t>Die statistische Erfassung der Beratungen erfolgt laut der VZHH in diesem Bereich jährlich. Die entsprechende Statistik für das Jahr 2023 liegt noch nicht vollständig vor.</w:t>
      </w:r>
    </w:p>
    <w:p w14:paraId="0899B385" w14:textId="77777777" w:rsidR="00D9696A" w:rsidRPr="00D9696A" w:rsidRDefault="00D9696A" w:rsidP="00CF107E">
      <w:pPr>
        <w:widowControl w:val="0"/>
        <w:spacing w:before="120" w:line="240" w:lineRule="auto"/>
        <w:jc w:val="both"/>
        <w:outlineLvl w:val="2"/>
        <w:rPr>
          <w:rFonts w:eastAsia="Arial"/>
          <w:sz w:val="20"/>
          <w:lang w:eastAsia="en-US"/>
        </w:rPr>
      </w:pPr>
      <w:r w:rsidRPr="00D9696A">
        <w:rPr>
          <w:rFonts w:eastAsia="Arial"/>
          <w:sz w:val="20"/>
          <w:lang w:eastAsia="en-US"/>
        </w:rPr>
        <w:t xml:space="preserve">Unabhängig davon ist festzustellen, dass sich die Nachfragen zum Strom- und Gaspreisrecht und zu Energiekosten- und Nebenkostenabrechnungen im Vergleich zum Jahr 2022 auf einem ähnlich hohen Niveau befinden. </w:t>
      </w:r>
    </w:p>
    <w:p w14:paraId="0B88BA2E" w14:textId="77777777" w:rsidR="00D9696A" w:rsidRPr="00D9696A" w:rsidRDefault="00D9696A" w:rsidP="00CF107E">
      <w:pPr>
        <w:widowControl w:val="0"/>
        <w:spacing w:before="120" w:line="240" w:lineRule="auto"/>
        <w:jc w:val="both"/>
        <w:outlineLvl w:val="2"/>
        <w:rPr>
          <w:rFonts w:eastAsia="Arial"/>
          <w:sz w:val="20"/>
          <w:lang w:eastAsia="en-US"/>
        </w:rPr>
      </w:pPr>
      <w:r w:rsidRPr="00D9696A">
        <w:rPr>
          <w:rFonts w:eastAsia="Arial"/>
          <w:sz w:val="20"/>
          <w:lang w:eastAsia="en-US"/>
        </w:rPr>
        <w:t>Im zweiten Halbjahr 2023 wurden 951 Beratungen durch den Fachbereich Energierecht erbracht (im entsprechenden Vergleichszeitraum 2022 waren es 958 Beratungen).</w:t>
      </w:r>
    </w:p>
    <w:p w14:paraId="175B276B" w14:textId="2D4FD624" w:rsidR="00D9696A" w:rsidRPr="00D9696A" w:rsidRDefault="00D9696A" w:rsidP="00CF107E">
      <w:pPr>
        <w:widowControl w:val="0"/>
        <w:spacing w:before="120" w:line="240" w:lineRule="auto"/>
        <w:jc w:val="both"/>
        <w:outlineLvl w:val="2"/>
        <w:rPr>
          <w:rFonts w:eastAsia="Arial"/>
          <w:sz w:val="20"/>
          <w:lang w:eastAsia="en-US"/>
        </w:rPr>
      </w:pPr>
      <w:r w:rsidRPr="00D9696A">
        <w:rPr>
          <w:rFonts w:eastAsia="Arial"/>
          <w:sz w:val="20"/>
          <w:lang w:eastAsia="en-US"/>
        </w:rPr>
        <w:t>Hinzu kamen Beratungen, die durch den Fachbereich Energiesparen, Hamburger Energielotsen</w:t>
      </w:r>
      <w:r w:rsidR="0083157F">
        <w:rPr>
          <w:rFonts w:eastAsia="Arial"/>
          <w:sz w:val="20"/>
          <w:lang w:eastAsia="en-US"/>
        </w:rPr>
        <w:t>,</w:t>
      </w:r>
      <w:r w:rsidRPr="00D9696A">
        <w:rPr>
          <w:rFonts w:eastAsia="Arial"/>
          <w:sz w:val="20"/>
          <w:lang w:eastAsia="en-US"/>
        </w:rPr>
        <w:t xml:space="preserve"> im Bereich Gas- und Strompreisrecht erbracht wurden. Die entsprechende Statistik liegt noch nicht vor.</w:t>
      </w:r>
    </w:p>
    <w:p w14:paraId="3E9A22D3" w14:textId="77777777" w:rsidR="00A81325" w:rsidRPr="007E7FCC" w:rsidRDefault="00A81325" w:rsidP="00CF107E">
      <w:pPr>
        <w:pStyle w:val="Frage-Nummerierung1"/>
        <w:widowControl w:val="0"/>
        <w:numPr>
          <w:ilvl w:val="0"/>
          <w:numId w:val="0"/>
        </w:numPr>
        <w:spacing w:before="0"/>
        <w:ind w:left="1588" w:hanging="1588"/>
      </w:pPr>
    </w:p>
    <w:p w14:paraId="6902B537" w14:textId="0CE29966" w:rsidR="007E7FCC" w:rsidRDefault="007E7FCC" w:rsidP="00CF107E">
      <w:pPr>
        <w:pStyle w:val="Frage-Nummerierung1"/>
        <w:widowControl w:val="0"/>
        <w:spacing w:before="0"/>
        <w:ind w:left="1701" w:hanging="1701"/>
      </w:pPr>
      <w:r w:rsidRPr="007E7FCC">
        <w:t>Wie haben sich die Wartezeiten für eine Beratung bei den unter Frage 5 und 6 genannten Organisationen im 3. und 4. Quartal 2023 entwickelt? Bitte nach Organisationen aufschlüsseln.</w:t>
      </w:r>
    </w:p>
    <w:p w14:paraId="7855AAB9" w14:textId="77777777" w:rsidR="00771EEF" w:rsidRDefault="00771EEF" w:rsidP="00CF107E">
      <w:pPr>
        <w:widowControl w:val="0"/>
        <w:spacing w:before="240" w:line="240" w:lineRule="auto"/>
        <w:jc w:val="both"/>
        <w:outlineLvl w:val="2"/>
        <w:rPr>
          <w:rFonts w:eastAsia="Arial"/>
          <w:sz w:val="20"/>
          <w:lang w:eastAsia="en-US"/>
        </w:rPr>
      </w:pPr>
      <w:r w:rsidRPr="00771EEF">
        <w:rPr>
          <w:rFonts w:eastAsia="Arial"/>
          <w:sz w:val="20"/>
          <w:lang w:eastAsia="en-US"/>
        </w:rPr>
        <w:t xml:space="preserve">Caritas: </w:t>
      </w:r>
    </w:p>
    <w:p w14:paraId="00FFB578" w14:textId="3A1FFDBA" w:rsidR="00771EEF" w:rsidRPr="00771EEF" w:rsidRDefault="00771EEF" w:rsidP="00CF107E">
      <w:pPr>
        <w:widowControl w:val="0"/>
        <w:spacing w:before="240" w:line="240" w:lineRule="auto"/>
        <w:jc w:val="both"/>
        <w:outlineLvl w:val="2"/>
        <w:rPr>
          <w:rFonts w:eastAsia="Arial"/>
          <w:sz w:val="20"/>
          <w:lang w:eastAsia="en-US"/>
        </w:rPr>
      </w:pPr>
      <w:r w:rsidRPr="00771EEF">
        <w:rPr>
          <w:rFonts w:eastAsia="Arial"/>
          <w:sz w:val="20"/>
          <w:lang w:eastAsia="en-US"/>
        </w:rPr>
        <w:t>Die Wartezeit ist im Vergleich zum gleichen Vorjahreszeitraum, in dem das Thema Energiepreise in den Medien sehr präsent war, zurückgegangen. Im Vorjahreszeitraum lag die Wartezeit bei zwei bis drei Wochen, aktuell findet der Ersttermin innerhalb von 7 bis 10 Tagen statt.</w:t>
      </w:r>
    </w:p>
    <w:p w14:paraId="7FCCE421" w14:textId="77777777" w:rsidR="00771EEF" w:rsidRDefault="00771EEF" w:rsidP="00CF107E">
      <w:pPr>
        <w:widowControl w:val="0"/>
        <w:spacing w:before="240" w:line="240" w:lineRule="auto"/>
        <w:outlineLvl w:val="2"/>
        <w:rPr>
          <w:rFonts w:eastAsia="Arial"/>
          <w:sz w:val="20"/>
          <w:lang w:eastAsia="en-US"/>
        </w:rPr>
      </w:pPr>
      <w:r>
        <w:rPr>
          <w:rFonts w:eastAsia="Arial"/>
          <w:sz w:val="20"/>
          <w:lang w:eastAsia="en-US"/>
        </w:rPr>
        <w:t>VZHH</w:t>
      </w:r>
      <w:r w:rsidRPr="00771EEF">
        <w:rPr>
          <w:rFonts w:eastAsia="Arial"/>
          <w:sz w:val="20"/>
          <w:lang w:eastAsia="en-US"/>
        </w:rPr>
        <w:t xml:space="preserve">: </w:t>
      </w:r>
    </w:p>
    <w:p w14:paraId="1EDA5C9F" w14:textId="05EA072B" w:rsidR="00771EEF" w:rsidRDefault="00771EEF" w:rsidP="00CF107E">
      <w:pPr>
        <w:widowControl w:val="0"/>
        <w:spacing w:before="240" w:line="240" w:lineRule="auto"/>
        <w:outlineLvl w:val="2"/>
        <w:rPr>
          <w:rFonts w:eastAsia="Arial"/>
          <w:sz w:val="20"/>
          <w:lang w:eastAsia="en-US"/>
        </w:rPr>
      </w:pPr>
      <w:r w:rsidRPr="00771EEF">
        <w:rPr>
          <w:rFonts w:eastAsia="Arial"/>
          <w:sz w:val="20"/>
          <w:lang w:eastAsia="en-US"/>
        </w:rPr>
        <w:t>Die Dauer zwischen Terminbuchung und Beratung betrug, für die dem Fachbereich Energierecht zugeordneten und im zweiten Halbjahr 2023 durchgeführten Beratungen, durchschnittlich drei Wochen.</w:t>
      </w:r>
    </w:p>
    <w:p w14:paraId="7E21BD6E" w14:textId="1B4CDE16" w:rsidR="00E560C4" w:rsidRDefault="00E560C4" w:rsidP="00CF107E">
      <w:pPr>
        <w:widowControl w:val="0"/>
        <w:spacing w:before="240" w:line="240" w:lineRule="auto"/>
        <w:outlineLvl w:val="2"/>
        <w:rPr>
          <w:rFonts w:eastAsia="Arial"/>
          <w:sz w:val="20"/>
          <w:lang w:eastAsia="en-US"/>
        </w:rPr>
      </w:pPr>
      <w:r>
        <w:rPr>
          <w:rFonts w:eastAsia="Arial"/>
          <w:sz w:val="20"/>
          <w:lang w:eastAsia="en-US"/>
        </w:rPr>
        <w:t>Schuldnerberatungsstellen:</w:t>
      </w:r>
    </w:p>
    <w:p w14:paraId="76129F46" w14:textId="77777777" w:rsidR="00E560C4" w:rsidRDefault="00E560C4" w:rsidP="00CF107E">
      <w:pPr>
        <w:widowControl w:val="0"/>
        <w:spacing w:line="240" w:lineRule="auto"/>
        <w:outlineLvl w:val="2"/>
        <w:rPr>
          <w:rFonts w:eastAsia="Arial" w:cs="Arial"/>
          <w:color w:val="0070C0"/>
          <w:sz w:val="20"/>
          <w:lang w:eastAsia="en-US"/>
        </w:rPr>
      </w:pPr>
    </w:p>
    <w:p w14:paraId="0365A03C" w14:textId="2D36E33A" w:rsidR="00E560C4" w:rsidRPr="00E560C4" w:rsidRDefault="00E560C4" w:rsidP="00CF107E">
      <w:pPr>
        <w:widowControl w:val="0"/>
        <w:spacing w:line="240" w:lineRule="auto"/>
        <w:outlineLvl w:val="2"/>
        <w:rPr>
          <w:rFonts w:eastAsia="Arial" w:cs="Arial"/>
          <w:color w:val="0070C0"/>
          <w:sz w:val="20"/>
          <w:lang w:eastAsia="en-US"/>
        </w:rPr>
      </w:pPr>
      <w:r w:rsidRPr="00E560C4">
        <w:rPr>
          <w:rFonts w:eastAsia="Arial" w:cs="Arial"/>
          <w:sz w:val="20"/>
          <w:lang w:eastAsia="en-US"/>
        </w:rPr>
        <w:t xml:space="preserve">Zur Berechnung und Einordung der Wartezeit siehe </w:t>
      </w:r>
      <w:proofErr w:type="spellStart"/>
      <w:r w:rsidRPr="00E560C4">
        <w:rPr>
          <w:rFonts w:eastAsia="Arial" w:cs="Arial"/>
          <w:sz w:val="20"/>
          <w:lang w:eastAsia="en-US"/>
        </w:rPr>
        <w:t>Drs</w:t>
      </w:r>
      <w:proofErr w:type="spellEnd"/>
      <w:r w:rsidRPr="00E560C4">
        <w:rPr>
          <w:rFonts w:eastAsia="Arial" w:cs="Arial"/>
          <w:sz w:val="20"/>
          <w:lang w:eastAsia="en-US"/>
        </w:rPr>
        <w:t>. 22/9395.</w:t>
      </w:r>
      <w:r>
        <w:rPr>
          <w:rFonts w:eastAsia="Arial" w:cs="Arial"/>
          <w:sz w:val="20"/>
          <w:lang w:eastAsia="en-US"/>
        </w:rPr>
        <w:t xml:space="preserve"> </w:t>
      </w:r>
    </w:p>
    <w:p w14:paraId="6CC0CC8D" w14:textId="77777777" w:rsidR="00E560C4" w:rsidRPr="00E560C4" w:rsidRDefault="00E560C4" w:rsidP="00CF107E">
      <w:pPr>
        <w:widowControl w:val="0"/>
        <w:spacing w:line="240" w:lineRule="auto"/>
        <w:outlineLvl w:val="2"/>
        <w:rPr>
          <w:rFonts w:eastAsia="Arial" w:cs="Arial"/>
          <w:sz w:val="20"/>
          <w:lang w:eastAsia="en-US"/>
        </w:rPr>
      </w:pPr>
    </w:p>
    <w:p w14:paraId="3B742440" w14:textId="77777777" w:rsidR="00E560C4" w:rsidRPr="00E560C4" w:rsidRDefault="00E560C4" w:rsidP="00CF107E">
      <w:pPr>
        <w:widowControl w:val="0"/>
        <w:spacing w:line="240" w:lineRule="auto"/>
        <w:outlineLvl w:val="2"/>
        <w:rPr>
          <w:rFonts w:eastAsia="Arial" w:cs="Arial"/>
          <w:sz w:val="20"/>
          <w:lang w:eastAsia="en-US"/>
        </w:rPr>
      </w:pPr>
      <w:r w:rsidRPr="00E560C4">
        <w:rPr>
          <w:rFonts w:eastAsia="Arial" w:cs="Arial"/>
          <w:sz w:val="20"/>
          <w:lang w:eastAsia="en-US"/>
        </w:rPr>
        <w:t>Bei den geförderten Schuldnerberatungsstellen war die Wartezeit im dritten Quartal 2023 wie folgt:</w:t>
      </w:r>
    </w:p>
    <w:p w14:paraId="719F7BCC" w14:textId="437537A4" w:rsidR="00E560C4" w:rsidRDefault="00E560C4" w:rsidP="00CF107E">
      <w:pPr>
        <w:widowControl w:val="0"/>
        <w:spacing w:line="240" w:lineRule="auto"/>
        <w:outlineLvl w:val="2"/>
        <w:rPr>
          <w:rFonts w:eastAsia="Arial" w:cs="Arial"/>
          <w:sz w:val="20"/>
          <w:lang w:eastAsia="en-US"/>
        </w:rPr>
      </w:pPr>
    </w:p>
    <w:tbl>
      <w:tblPr>
        <w:tblStyle w:val="Tabellenraster"/>
        <w:tblW w:w="0" w:type="auto"/>
        <w:tblLook w:val="04A0" w:firstRow="1" w:lastRow="0" w:firstColumn="1" w:lastColumn="0" w:noHBand="0" w:noVBand="1"/>
      </w:tblPr>
      <w:tblGrid>
        <w:gridCol w:w="4530"/>
        <w:gridCol w:w="4531"/>
      </w:tblGrid>
      <w:tr w:rsidR="00E560C4" w:rsidRPr="00DB37FB" w14:paraId="0A6E69C3" w14:textId="77777777" w:rsidTr="00D764AC">
        <w:tc>
          <w:tcPr>
            <w:tcW w:w="4530" w:type="dxa"/>
          </w:tcPr>
          <w:p w14:paraId="4705EB21" w14:textId="6D9D8474" w:rsidR="00E560C4" w:rsidRPr="00DB37FB" w:rsidRDefault="00E560C4" w:rsidP="00CF107E">
            <w:pPr>
              <w:widowControl w:val="0"/>
              <w:spacing w:line="240" w:lineRule="auto"/>
              <w:jc w:val="center"/>
              <w:outlineLvl w:val="2"/>
              <w:rPr>
                <w:rFonts w:eastAsia="Arial" w:cs="Arial"/>
                <w:b/>
                <w:sz w:val="20"/>
              </w:rPr>
            </w:pPr>
            <w:bookmarkStart w:id="2" w:name="_Hlk156549523"/>
            <w:r w:rsidRPr="00DB37FB">
              <w:rPr>
                <w:rFonts w:eastAsia="Arial" w:cs="Arial"/>
                <w:b/>
                <w:sz w:val="20"/>
              </w:rPr>
              <w:t>Schuld</w:t>
            </w:r>
            <w:r w:rsidR="003421CD">
              <w:rPr>
                <w:rFonts w:eastAsia="Arial" w:cs="Arial"/>
                <w:b/>
                <w:sz w:val="20"/>
              </w:rPr>
              <w:t>n</w:t>
            </w:r>
            <w:r w:rsidRPr="00DB37FB">
              <w:rPr>
                <w:rFonts w:eastAsia="Arial" w:cs="Arial"/>
                <w:b/>
                <w:sz w:val="20"/>
              </w:rPr>
              <w:t>erberatungsstelle</w:t>
            </w:r>
          </w:p>
        </w:tc>
        <w:tc>
          <w:tcPr>
            <w:tcW w:w="4531" w:type="dxa"/>
          </w:tcPr>
          <w:p w14:paraId="491A20F0" w14:textId="09A2732A" w:rsidR="00E560C4" w:rsidRPr="00DB37FB" w:rsidRDefault="00E560C4" w:rsidP="00CF107E">
            <w:pPr>
              <w:widowControl w:val="0"/>
              <w:spacing w:line="240" w:lineRule="auto"/>
              <w:jc w:val="center"/>
              <w:outlineLvl w:val="2"/>
              <w:rPr>
                <w:rFonts w:eastAsia="Arial" w:cs="Arial"/>
                <w:b/>
                <w:sz w:val="20"/>
              </w:rPr>
            </w:pPr>
            <w:r>
              <w:rPr>
                <w:rFonts w:eastAsia="Arial" w:cs="Arial"/>
                <w:b/>
                <w:sz w:val="20"/>
              </w:rPr>
              <w:t>Wartezeit (in Tagen)</w:t>
            </w:r>
          </w:p>
        </w:tc>
      </w:tr>
      <w:tr w:rsidR="00E560C4" w:rsidRPr="00DB37FB" w14:paraId="0F7D8512" w14:textId="77777777" w:rsidTr="00D764AC">
        <w:tc>
          <w:tcPr>
            <w:tcW w:w="4530" w:type="dxa"/>
          </w:tcPr>
          <w:p w14:paraId="48DC17C2" w14:textId="77777777" w:rsidR="00E560C4" w:rsidRPr="00DB37FB" w:rsidRDefault="00E560C4" w:rsidP="00CF107E">
            <w:pPr>
              <w:widowControl w:val="0"/>
              <w:spacing w:line="240" w:lineRule="auto"/>
              <w:jc w:val="center"/>
              <w:outlineLvl w:val="2"/>
              <w:rPr>
                <w:rFonts w:eastAsia="Arial" w:cs="Arial"/>
                <w:sz w:val="20"/>
              </w:rPr>
            </w:pPr>
            <w:proofErr w:type="spellStart"/>
            <w:r w:rsidRPr="00DB37FB">
              <w:rPr>
                <w:rFonts w:eastAsia="Arial" w:cs="Arial"/>
                <w:sz w:val="20"/>
              </w:rPr>
              <w:t>afg</w:t>
            </w:r>
            <w:proofErr w:type="spellEnd"/>
            <w:r w:rsidRPr="00DB37FB">
              <w:rPr>
                <w:rFonts w:eastAsia="Arial" w:cs="Arial"/>
                <w:sz w:val="20"/>
              </w:rPr>
              <w:t xml:space="preserve"> </w:t>
            </w:r>
            <w:proofErr w:type="spellStart"/>
            <w:r w:rsidRPr="00DB37FB">
              <w:rPr>
                <w:rFonts w:eastAsia="Arial" w:cs="Arial"/>
                <w:sz w:val="20"/>
              </w:rPr>
              <w:t>worknet</w:t>
            </w:r>
            <w:proofErr w:type="spellEnd"/>
            <w:r w:rsidRPr="00DB37FB">
              <w:rPr>
                <w:rFonts w:eastAsia="Arial" w:cs="Arial"/>
                <w:sz w:val="20"/>
              </w:rPr>
              <w:t xml:space="preserve"> gGmbH</w:t>
            </w:r>
          </w:p>
        </w:tc>
        <w:tc>
          <w:tcPr>
            <w:tcW w:w="4531" w:type="dxa"/>
          </w:tcPr>
          <w:p w14:paraId="3E8856FA" w14:textId="712C666D" w:rsidR="00E560C4" w:rsidRPr="00DB37FB" w:rsidRDefault="00E560C4" w:rsidP="00CF107E">
            <w:pPr>
              <w:widowControl w:val="0"/>
              <w:spacing w:line="240" w:lineRule="auto"/>
              <w:jc w:val="center"/>
              <w:outlineLvl w:val="2"/>
              <w:rPr>
                <w:rFonts w:eastAsia="Arial" w:cs="Arial"/>
                <w:sz w:val="20"/>
              </w:rPr>
            </w:pPr>
            <w:r>
              <w:rPr>
                <w:rFonts w:eastAsia="Arial" w:cs="Arial"/>
                <w:sz w:val="20"/>
              </w:rPr>
              <w:t>100</w:t>
            </w:r>
          </w:p>
        </w:tc>
      </w:tr>
      <w:tr w:rsidR="00E560C4" w14:paraId="1637F2F3" w14:textId="77777777" w:rsidTr="00D764AC">
        <w:tc>
          <w:tcPr>
            <w:tcW w:w="4530" w:type="dxa"/>
          </w:tcPr>
          <w:p w14:paraId="5D66CB9E" w14:textId="77777777" w:rsidR="00E560C4" w:rsidRPr="00DB37FB" w:rsidRDefault="00E560C4" w:rsidP="00CF107E">
            <w:pPr>
              <w:widowControl w:val="0"/>
              <w:spacing w:line="240" w:lineRule="auto"/>
              <w:jc w:val="center"/>
              <w:outlineLvl w:val="2"/>
              <w:rPr>
                <w:rFonts w:eastAsia="Arial" w:cs="Arial"/>
                <w:sz w:val="20"/>
              </w:rPr>
            </w:pPr>
            <w:r w:rsidRPr="00DB37FB">
              <w:rPr>
                <w:rFonts w:eastAsia="Arial" w:cs="Arial"/>
                <w:sz w:val="20"/>
              </w:rPr>
              <w:t xml:space="preserve">AWO </w:t>
            </w:r>
            <w:proofErr w:type="spellStart"/>
            <w:r w:rsidRPr="00DB37FB">
              <w:rPr>
                <w:rFonts w:eastAsia="Arial" w:cs="Arial"/>
                <w:sz w:val="20"/>
              </w:rPr>
              <w:t>AQtivus</w:t>
            </w:r>
            <w:proofErr w:type="spellEnd"/>
            <w:r w:rsidRPr="00DB37FB">
              <w:rPr>
                <w:rFonts w:eastAsia="Arial" w:cs="Arial"/>
                <w:sz w:val="20"/>
              </w:rPr>
              <w:t xml:space="preserve"> gGmbH</w:t>
            </w:r>
          </w:p>
        </w:tc>
        <w:tc>
          <w:tcPr>
            <w:tcW w:w="4531" w:type="dxa"/>
          </w:tcPr>
          <w:p w14:paraId="4B9E628F" w14:textId="2530627D" w:rsidR="00E560C4" w:rsidRDefault="00E560C4" w:rsidP="00CF107E">
            <w:pPr>
              <w:widowControl w:val="0"/>
              <w:spacing w:line="240" w:lineRule="auto"/>
              <w:jc w:val="center"/>
              <w:outlineLvl w:val="2"/>
              <w:rPr>
                <w:rFonts w:eastAsia="Arial" w:cs="Arial"/>
                <w:sz w:val="20"/>
              </w:rPr>
            </w:pPr>
            <w:r>
              <w:rPr>
                <w:rFonts w:eastAsia="Arial" w:cs="Arial"/>
                <w:sz w:val="20"/>
              </w:rPr>
              <w:t>120</w:t>
            </w:r>
          </w:p>
        </w:tc>
      </w:tr>
      <w:tr w:rsidR="00E560C4" w14:paraId="726C3320" w14:textId="77777777" w:rsidTr="00D764AC">
        <w:tc>
          <w:tcPr>
            <w:tcW w:w="4530" w:type="dxa"/>
          </w:tcPr>
          <w:p w14:paraId="7B701670" w14:textId="77777777" w:rsidR="00E560C4" w:rsidRPr="00DB37FB" w:rsidRDefault="00E560C4" w:rsidP="00CF107E">
            <w:pPr>
              <w:widowControl w:val="0"/>
              <w:spacing w:line="240" w:lineRule="auto"/>
              <w:jc w:val="center"/>
              <w:outlineLvl w:val="2"/>
              <w:rPr>
                <w:rFonts w:eastAsia="Arial" w:cs="Arial"/>
                <w:sz w:val="20"/>
              </w:rPr>
            </w:pPr>
            <w:r w:rsidRPr="00DB37FB">
              <w:rPr>
                <w:rFonts w:eastAsia="Arial" w:cs="Arial"/>
                <w:sz w:val="20"/>
              </w:rPr>
              <w:t>Diakonisches Werk Hamburg</w:t>
            </w:r>
          </w:p>
        </w:tc>
        <w:tc>
          <w:tcPr>
            <w:tcW w:w="4531" w:type="dxa"/>
          </w:tcPr>
          <w:p w14:paraId="1619AF71" w14:textId="0B5367C3" w:rsidR="00E560C4" w:rsidRDefault="00E560C4" w:rsidP="00CF107E">
            <w:pPr>
              <w:widowControl w:val="0"/>
              <w:spacing w:line="240" w:lineRule="auto"/>
              <w:jc w:val="center"/>
              <w:outlineLvl w:val="2"/>
              <w:rPr>
                <w:rFonts w:eastAsia="Arial" w:cs="Arial"/>
                <w:sz w:val="20"/>
              </w:rPr>
            </w:pPr>
            <w:r>
              <w:rPr>
                <w:rFonts w:eastAsia="Arial" w:cs="Arial"/>
                <w:sz w:val="20"/>
              </w:rPr>
              <w:t>100</w:t>
            </w:r>
          </w:p>
        </w:tc>
      </w:tr>
      <w:tr w:rsidR="00E560C4" w14:paraId="24DC787E" w14:textId="77777777" w:rsidTr="00D764AC">
        <w:tc>
          <w:tcPr>
            <w:tcW w:w="4530" w:type="dxa"/>
          </w:tcPr>
          <w:p w14:paraId="3BF251DB" w14:textId="77777777" w:rsidR="00E560C4" w:rsidRPr="00DB37FB" w:rsidRDefault="00E560C4" w:rsidP="00CF107E">
            <w:pPr>
              <w:widowControl w:val="0"/>
              <w:spacing w:line="240" w:lineRule="auto"/>
              <w:jc w:val="center"/>
              <w:outlineLvl w:val="2"/>
              <w:rPr>
                <w:rFonts w:eastAsia="Arial" w:cs="Arial"/>
                <w:sz w:val="20"/>
              </w:rPr>
            </w:pPr>
            <w:proofErr w:type="spellStart"/>
            <w:r w:rsidRPr="00DB37FB">
              <w:rPr>
                <w:rFonts w:eastAsia="Arial" w:cs="Arial"/>
                <w:sz w:val="20"/>
              </w:rPr>
              <w:t>hamburger</w:t>
            </w:r>
            <w:proofErr w:type="spellEnd"/>
            <w:r w:rsidRPr="00DB37FB">
              <w:rPr>
                <w:rFonts w:eastAsia="Arial" w:cs="Arial"/>
                <w:sz w:val="20"/>
              </w:rPr>
              <w:t xml:space="preserve"> </w:t>
            </w:r>
            <w:proofErr w:type="spellStart"/>
            <w:r w:rsidRPr="00DB37FB">
              <w:rPr>
                <w:rFonts w:eastAsia="Arial" w:cs="Arial"/>
                <w:sz w:val="20"/>
              </w:rPr>
              <w:t>arbeit</w:t>
            </w:r>
            <w:proofErr w:type="spellEnd"/>
          </w:p>
        </w:tc>
        <w:tc>
          <w:tcPr>
            <w:tcW w:w="4531" w:type="dxa"/>
          </w:tcPr>
          <w:p w14:paraId="5A3B0284" w14:textId="179E287D" w:rsidR="00E560C4" w:rsidRDefault="00E560C4" w:rsidP="00CF107E">
            <w:pPr>
              <w:widowControl w:val="0"/>
              <w:spacing w:line="240" w:lineRule="auto"/>
              <w:jc w:val="center"/>
              <w:outlineLvl w:val="2"/>
              <w:rPr>
                <w:rFonts w:eastAsia="Arial" w:cs="Arial"/>
                <w:sz w:val="20"/>
              </w:rPr>
            </w:pPr>
            <w:r>
              <w:rPr>
                <w:rFonts w:eastAsia="Arial" w:cs="Arial"/>
                <w:sz w:val="20"/>
              </w:rPr>
              <w:t>70</w:t>
            </w:r>
          </w:p>
        </w:tc>
      </w:tr>
      <w:tr w:rsidR="00E560C4" w14:paraId="51AE9C39" w14:textId="77777777" w:rsidTr="00D764AC">
        <w:tc>
          <w:tcPr>
            <w:tcW w:w="4530" w:type="dxa"/>
          </w:tcPr>
          <w:p w14:paraId="39073AE3" w14:textId="77777777" w:rsidR="00E560C4" w:rsidRPr="00DB37FB" w:rsidRDefault="00E560C4" w:rsidP="00CF107E">
            <w:pPr>
              <w:widowControl w:val="0"/>
              <w:spacing w:line="240" w:lineRule="auto"/>
              <w:jc w:val="center"/>
              <w:outlineLvl w:val="2"/>
              <w:rPr>
                <w:rFonts w:eastAsia="Arial" w:cs="Arial"/>
                <w:sz w:val="20"/>
              </w:rPr>
            </w:pPr>
            <w:r w:rsidRPr="00DB37FB">
              <w:rPr>
                <w:rFonts w:eastAsia="Arial" w:cs="Arial"/>
                <w:sz w:val="20"/>
              </w:rPr>
              <w:t>Schuldenhilfe Sofort e.V.</w:t>
            </w:r>
          </w:p>
        </w:tc>
        <w:tc>
          <w:tcPr>
            <w:tcW w:w="4531" w:type="dxa"/>
          </w:tcPr>
          <w:p w14:paraId="656AEA62" w14:textId="54145F6F" w:rsidR="00E560C4" w:rsidRDefault="00E560C4" w:rsidP="00CF107E">
            <w:pPr>
              <w:widowControl w:val="0"/>
              <w:spacing w:line="240" w:lineRule="auto"/>
              <w:jc w:val="center"/>
              <w:outlineLvl w:val="2"/>
              <w:rPr>
                <w:rFonts w:eastAsia="Arial" w:cs="Arial"/>
                <w:sz w:val="20"/>
              </w:rPr>
            </w:pPr>
            <w:r>
              <w:rPr>
                <w:rFonts w:eastAsia="Arial" w:cs="Arial"/>
                <w:sz w:val="20"/>
              </w:rPr>
              <w:t>25</w:t>
            </w:r>
          </w:p>
        </w:tc>
      </w:tr>
      <w:tr w:rsidR="00E560C4" w14:paraId="686F6A3A" w14:textId="77777777" w:rsidTr="00D764AC">
        <w:tc>
          <w:tcPr>
            <w:tcW w:w="4530" w:type="dxa"/>
          </w:tcPr>
          <w:p w14:paraId="32AC22C1" w14:textId="77777777" w:rsidR="00E560C4" w:rsidRPr="00DB37FB" w:rsidRDefault="00E560C4" w:rsidP="00CF107E">
            <w:pPr>
              <w:widowControl w:val="0"/>
              <w:spacing w:line="240" w:lineRule="auto"/>
              <w:jc w:val="center"/>
              <w:outlineLvl w:val="2"/>
              <w:rPr>
                <w:rFonts w:eastAsia="Arial" w:cs="Arial"/>
                <w:sz w:val="20"/>
              </w:rPr>
            </w:pPr>
            <w:r w:rsidRPr="00DB37FB">
              <w:rPr>
                <w:rFonts w:eastAsia="Arial" w:cs="Arial"/>
                <w:sz w:val="20"/>
              </w:rPr>
              <w:t>Deutsches Rotes Kreuz</w:t>
            </w:r>
          </w:p>
        </w:tc>
        <w:tc>
          <w:tcPr>
            <w:tcW w:w="4531" w:type="dxa"/>
          </w:tcPr>
          <w:p w14:paraId="10BE1D1C" w14:textId="4AC3EDC4" w:rsidR="00E560C4" w:rsidRDefault="00E560C4" w:rsidP="00CF107E">
            <w:pPr>
              <w:widowControl w:val="0"/>
              <w:spacing w:line="240" w:lineRule="auto"/>
              <w:jc w:val="center"/>
              <w:outlineLvl w:val="2"/>
              <w:rPr>
                <w:rFonts w:eastAsia="Arial" w:cs="Arial"/>
                <w:sz w:val="20"/>
              </w:rPr>
            </w:pPr>
            <w:r>
              <w:rPr>
                <w:rFonts w:eastAsia="Arial" w:cs="Arial"/>
                <w:sz w:val="20"/>
              </w:rPr>
              <w:t>70</w:t>
            </w:r>
          </w:p>
        </w:tc>
      </w:tr>
      <w:tr w:rsidR="00E560C4" w14:paraId="270798E2" w14:textId="77777777" w:rsidTr="00D764AC">
        <w:tc>
          <w:tcPr>
            <w:tcW w:w="4530" w:type="dxa"/>
          </w:tcPr>
          <w:p w14:paraId="154B0F9C" w14:textId="77777777" w:rsidR="00E560C4" w:rsidRPr="00DB37FB" w:rsidRDefault="00E560C4" w:rsidP="00CF107E">
            <w:pPr>
              <w:widowControl w:val="0"/>
              <w:spacing w:line="240" w:lineRule="auto"/>
              <w:jc w:val="center"/>
              <w:outlineLvl w:val="2"/>
              <w:rPr>
                <w:rFonts w:eastAsia="Arial" w:cs="Arial"/>
                <w:sz w:val="20"/>
              </w:rPr>
            </w:pPr>
            <w:r>
              <w:rPr>
                <w:rFonts w:eastAsia="Arial" w:cs="Arial"/>
                <w:sz w:val="20"/>
              </w:rPr>
              <w:t>VZHH</w:t>
            </w:r>
          </w:p>
        </w:tc>
        <w:tc>
          <w:tcPr>
            <w:tcW w:w="4531" w:type="dxa"/>
          </w:tcPr>
          <w:p w14:paraId="7BA293A8" w14:textId="52F4BC6F" w:rsidR="00E560C4" w:rsidRDefault="00E560C4" w:rsidP="00CF107E">
            <w:pPr>
              <w:widowControl w:val="0"/>
              <w:spacing w:line="240" w:lineRule="auto"/>
              <w:jc w:val="center"/>
              <w:outlineLvl w:val="2"/>
              <w:rPr>
                <w:rFonts w:eastAsia="Arial" w:cs="Arial"/>
                <w:sz w:val="20"/>
              </w:rPr>
            </w:pPr>
            <w:r>
              <w:rPr>
                <w:rFonts w:eastAsia="Arial" w:cs="Arial"/>
                <w:sz w:val="20"/>
              </w:rPr>
              <w:t>113</w:t>
            </w:r>
          </w:p>
        </w:tc>
      </w:tr>
      <w:bookmarkEnd w:id="2"/>
    </w:tbl>
    <w:p w14:paraId="02E4681F" w14:textId="0F7B2310" w:rsidR="00E560C4" w:rsidRDefault="00E560C4" w:rsidP="00CF107E">
      <w:pPr>
        <w:widowControl w:val="0"/>
        <w:spacing w:line="240" w:lineRule="auto"/>
        <w:outlineLvl w:val="2"/>
        <w:rPr>
          <w:rFonts w:eastAsia="Arial" w:cs="Arial"/>
          <w:sz w:val="20"/>
          <w:lang w:eastAsia="en-US"/>
        </w:rPr>
      </w:pPr>
    </w:p>
    <w:p w14:paraId="32D4F124" w14:textId="77777777" w:rsidR="00E560C4" w:rsidRPr="00E560C4" w:rsidRDefault="00E560C4" w:rsidP="00CF107E">
      <w:pPr>
        <w:widowControl w:val="0"/>
        <w:spacing w:line="240" w:lineRule="auto"/>
        <w:outlineLvl w:val="2"/>
        <w:rPr>
          <w:rFonts w:eastAsia="Arial" w:cs="Arial"/>
          <w:sz w:val="20"/>
          <w:lang w:eastAsia="en-US"/>
        </w:rPr>
      </w:pPr>
    </w:p>
    <w:p w14:paraId="2E33B1B2" w14:textId="77777777" w:rsidR="00E560C4" w:rsidRPr="00E560C4" w:rsidRDefault="00E560C4" w:rsidP="00CF107E">
      <w:pPr>
        <w:widowControl w:val="0"/>
        <w:spacing w:line="240" w:lineRule="auto"/>
        <w:outlineLvl w:val="2"/>
        <w:rPr>
          <w:rFonts w:eastAsia="Arial" w:cs="Arial"/>
          <w:sz w:val="20"/>
          <w:lang w:eastAsia="en-US"/>
        </w:rPr>
      </w:pPr>
      <w:r w:rsidRPr="00E560C4">
        <w:rPr>
          <w:rFonts w:eastAsia="Arial" w:cs="Arial"/>
          <w:sz w:val="20"/>
          <w:lang w:eastAsia="en-US"/>
        </w:rPr>
        <w:t>Bei den geförderten Schuldnerberatungsstellen war die Wartezeit im vierten Quartal 2023 wie folgt:</w:t>
      </w:r>
    </w:p>
    <w:p w14:paraId="1034B54F" w14:textId="7C531356" w:rsidR="00E560C4" w:rsidRDefault="00E560C4" w:rsidP="00CF107E">
      <w:pPr>
        <w:widowControl w:val="0"/>
        <w:spacing w:line="240" w:lineRule="auto"/>
        <w:outlineLvl w:val="2"/>
        <w:rPr>
          <w:rFonts w:eastAsia="Arial" w:cs="Arial"/>
          <w:sz w:val="20"/>
          <w:lang w:eastAsia="en-US"/>
        </w:rPr>
      </w:pPr>
    </w:p>
    <w:tbl>
      <w:tblPr>
        <w:tblStyle w:val="Tabellenraster"/>
        <w:tblW w:w="0" w:type="auto"/>
        <w:tblLook w:val="04A0" w:firstRow="1" w:lastRow="0" w:firstColumn="1" w:lastColumn="0" w:noHBand="0" w:noVBand="1"/>
      </w:tblPr>
      <w:tblGrid>
        <w:gridCol w:w="4530"/>
        <w:gridCol w:w="4531"/>
      </w:tblGrid>
      <w:tr w:rsidR="00E560C4" w:rsidRPr="00DB37FB" w14:paraId="5A8E6E9A" w14:textId="77777777" w:rsidTr="00D764AC">
        <w:tc>
          <w:tcPr>
            <w:tcW w:w="4530" w:type="dxa"/>
          </w:tcPr>
          <w:p w14:paraId="5BB93DFF" w14:textId="4DDBEAC8" w:rsidR="00E560C4" w:rsidRPr="00DB37FB" w:rsidRDefault="00E560C4" w:rsidP="00CF107E">
            <w:pPr>
              <w:widowControl w:val="0"/>
              <w:spacing w:line="240" w:lineRule="auto"/>
              <w:jc w:val="center"/>
              <w:outlineLvl w:val="2"/>
              <w:rPr>
                <w:rFonts w:eastAsia="Arial" w:cs="Arial"/>
                <w:b/>
                <w:sz w:val="20"/>
              </w:rPr>
            </w:pPr>
            <w:r w:rsidRPr="00DB37FB">
              <w:rPr>
                <w:rFonts w:eastAsia="Arial" w:cs="Arial"/>
                <w:b/>
                <w:sz w:val="20"/>
              </w:rPr>
              <w:lastRenderedPageBreak/>
              <w:t>Schuld</w:t>
            </w:r>
            <w:r w:rsidR="003421CD">
              <w:rPr>
                <w:rFonts w:eastAsia="Arial" w:cs="Arial"/>
                <w:b/>
                <w:sz w:val="20"/>
              </w:rPr>
              <w:t>n</w:t>
            </w:r>
            <w:r w:rsidRPr="00DB37FB">
              <w:rPr>
                <w:rFonts w:eastAsia="Arial" w:cs="Arial"/>
                <w:b/>
                <w:sz w:val="20"/>
              </w:rPr>
              <w:t>erberatungsstelle</w:t>
            </w:r>
          </w:p>
        </w:tc>
        <w:tc>
          <w:tcPr>
            <w:tcW w:w="4531" w:type="dxa"/>
          </w:tcPr>
          <w:p w14:paraId="6C8C39B3" w14:textId="77777777" w:rsidR="00E560C4" w:rsidRPr="00DB37FB" w:rsidRDefault="00E560C4" w:rsidP="00CF107E">
            <w:pPr>
              <w:widowControl w:val="0"/>
              <w:spacing w:line="240" w:lineRule="auto"/>
              <w:jc w:val="center"/>
              <w:outlineLvl w:val="2"/>
              <w:rPr>
                <w:rFonts w:eastAsia="Arial" w:cs="Arial"/>
                <w:b/>
                <w:sz w:val="20"/>
              </w:rPr>
            </w:pPr>
            <w:r>
              <w:rPr>
                <w:rFonts w:eastAsia="Arial" w:cs="Arial"/>
                <w:b/>
                <w:sz w:val="20"/>
              </w:rPr>
              <w:t>Wartezeit (in Tagen)</w:t>
            </w:r>
          </w:p>
        </w:tc>
      </w:tr>
      <w:tr w:rsidR="00E560C4" w:rsidRPr="00DB37FB" w14:paraId="0858414D" w14:textId="77777777" w:rsidTr="00D764AC">
        <w:tc>
          <w:tcPr>
            <w:tcW w:w="4530" w:type="dxa"/>
          </w:tcPr>
          <w:p w14:paraId="2535FD69" w14:textId="77777777" w:rsidR="00E560C4" w:rsidRPr="00DB37FB" w:rsidRDefault="00E560C4" w:rsidP="00CF107E">
            <w:pPr>
              <w:widowControl w:val="0"/>
              <w:spacing w:line="240" w:lineRule="auto"/>
              <w:jc w:val="center"/>
              <w:outlineLvl w:val="2"/>
              <w:rPr>
                <w:rFonts w:eastAsia="Arial" w:cs="Arial"/>
                <w:sz w:val="20"/>
              </w:rPr>
            </w:pPr>
            <w:proofErr w:type="spellStart"/>
            <w:r w:rsidRPr="00DB37FB">
              <w:rPr>
                <w:rFonts w:eastAsia="Arial" w:cs="Arial"/>
                <w:sz w:val="20"/>
              </w:rPr>
              <w:t>afg</w:t>
            </w:r>
            <w:proofErr w:type="spellEnd"/>
            <w:r w:rsidRPr="00DB37FB">
              <w:rPr>
                <w:rFonts w:eastAsia="Arial" w:cs="Arial"/>
                <w:sz w:val="20"/>
              </w:rPr>
              <w:t xml:space="preserve"> </w:t>
            </w:r>
            <w:proofErr w:type="spellStart"/>
            <w:r w:rsidRPr="00DB37FB">
              <w:rPr>
                <w:rFonts w:eastAsia="Arial" w:cs="Arial"/>
                <w:sz w:val="20"/>
              </w:rPr>
              <w:t>worknet</w:t>
            </w:r>
            <w:proofErr w:type="spellEnd"/>
            <w:r w:rsidRPr="00DB37FB">
              <w:rPr>
                <w:rFonts w:eastAsia="Arial" w:cs="Arial"/>
                <w:sz w:val="20"/>
              </w:rPr>
              <w:t xml:space="preserve"> gGmbH</w:t>
            </w:r>
          </w:p>
        </w:tc>
        <w:tc>
          <w:tcPr>
            <w:tcW w:w="4531" w:type="dxa"/>
          </w:tcPr>
          <w:p w14:paraId="23477B77" w14:textId="6E8C0B6A" w:rsidR="00E560C4" w:rsidRPr="00DB37FB" w:rsidRDefault="00E560C4" w:rsidP="00CF107E">
            <w:pPr>
              <w:widowControl w:val="0"/>
              <w:spacing w:line="240" w:lineRule="auto"/>
              <w:jc w:val="center"/>
              <w:outlineLvl w:val="2"/>
              <w:rPr>
                <w:rFonts w:eastAsia="Arial" w:cs="Arial"/>
                <w:sz w:val="20"/>
              </w:rPr>
            </w:pPr>
            <w:r>
              <w:rPr>
                <w:rFonts w:eastAsia="Arial" w:cs="Arial"/>
                <w:sz w:val="20"/>
              </w:rPr>
              <w:t>100</w:t>
            </w:r>
          </w:p>
        </w:tc>
      </w:tr>
      <w:tr w:rsidR="00E560C4" w14:paraId="77C2D416" w14:textId="77777777" w:rsidTr="00D764AC">
        <w:tc>
          <w:tcPr>
            <w:tcW w:w="4530" w:type="dxa"/>
          </w:tcPr>
          <w:p w14:paraId="3CCDDBDF" w14:textId="77777777" w:rsidR="00E560C4" w:rsidRPr="00DB37FB" w:rsidRDefault="00E560C4" w:rsidP="00CF107E">
            <w:pPr>
              <w:widowControl w:val="0"/>
              <w:spacing w:line="240" w:lineRule="auto"/>
              <w:jc w:val="center"/>
              <w:outlineLvl w:val="2"/>
              <w:rPr>
                <w:rFonts w:eastAsia="Arial" w:cs="Arial"/>
                <w:sz w:val="20"/>
              </w:rPr>
            </w:pPr>
            <w:r w:rsidRPr="00DB37FB">
              <w:rPr>
                <w:rFonts w:eastAsia="Arial" w:cs="Arial"/>
                <w:sz w:val="20"/>
              </w:rPr>
              <w:t xml:space="preserve">AWO </w:t>
            </w:r>
            <w:proofErr w:type="spellStart"/>
            <w:r w:rsidRPr="00DB37FB">
              <w:rPr>
                <w:rFonts w:eastAsia="Arial" w:cs="Arial"/>
                <w:sz w:val="20"/>
              </w:rPr>
              <w:t>AQtivus</w:t>
            </w:r>
            <w:proofErr w:type="spellEnd"/>
            <w:r w:rsidRPr="00DB37FB">
              <w:rPr>
                <w:rFonts w:eastAsia="Arial" w:cs="Arial"/>
                <w:sz w:val="20"/>
              </w:rPr>
              <w:t xml:space="preserve"> gGmbH</w:t>
            </w:r>
          </w:p>
        </w:tc>
        <w:tc>
          <w:tcPr>
            <w:tcW w:w="4531" w:type="dxa"/>
          </w:tcPr>
          <w:p w14:paraId="4078DCFE" w14:textId="68A966BB" w:rsidR="00E560C4" w:rsidRDefault="00E560C4" w:rsidP="00CF107E">
            <w:pPr>
              <w:widowControl w:val="0"/>
              <w:spacing w:line="240" w:lineRule="auto"/>
              <w:jc w:val="center"/>
              <w:outlineLvl w:val="2"/>
              <w:rPr>
                <w:rFonts w:eastAsia="Arial" w:cs="Arial"/>
                <w:sz w:val="20"/>
              </w:rPr>
            </w:pPr>
            <w:r>
              <w:rPr>
                <w:rFonts w:eastAsia="Arial" w:cs="Arial"/>
                <w:sz w:val="20"/>
              </w:rPr>
              <w:t>90</w:t>
            </w:r>
          </w:p>
        </w:tc>
      </w:tr>
      <w:tr w:rsidR="00E560C4" w14:paraId="611F7C90" w14:textId="77777777" w:rsidTr="00D764AC">
        <w:tc>
          <w:tcPr>
            <w:tcW w:w="4530" w:type="dxa"/>
          </w:tcPr>
          <w:p w14:paraId="084F4BB4" w14:textId="77777777" w:rsidR="00E560C4" w:rsidRPr="00DB37FB" w:rsidRDefault="00E560C4" w:rsidP="00CF107E">
            <w:pPr>
              <w:widowControl w:val="0"/>
              <w:spacing w:line="240" w:lineRule="auto"/>
              <w:jc w:val="center"/>
              <w:outlineLvl w:val="2"/>
              <w:rPr>
                <w:rFonts w:eastAsia="Arial" w:cs="Arial"/>
                <w:sz w:val="20"/>
              </w:rPr>
            </w:pPr>
            <w:r w:rsidRPr="00DB37FB">
              <w:rPr>
                <w:rFonts w:eastAsia="Arial" w:cs="Arial"/>
                <w:sz w:val="20"/>
              </w:rPr>
              <w:t>Diakonisches Werk Hamburg</w:t>
            </w:r>
          </w:p>
        </w:tc>
        <w:tc>
          <w:tcPr>
            <w:tcW w:w="4531" w:type="dxa"/>
          </w:tcPr>
          <w:p w14:paraId="6517E7AB" w14:textId="5FFA12CA" w:rsidR="00E560C4" w:rsidRDefault="00E560C4" w:rsidP="00CF107E">
            <w:pPr>
              <w:widowControl w:val="0"/>
              <w:spacing w:line="240" w:lineRule="auto"/>
              <w:jc w:val="center"/>
              <w:outlineLvl w:val="2"/>
              <w:rPr>
                <w:rFonts w:eastAsia="Arial" w:cs="Arial"/>
                <w:sz w:val="20"/>
              </w:rPr>
            </w:pPr>
            <w:r>
              <w:rPr>
                <w:rFonts w:eastAsia="Arial" w:cs="Arial"/>
                <w:sz w:val="20"/>
              </w:rPr>
              <w:t>90</w:t>
            </w:r>
          </w:p>
        </w:tc>
      </w:tr>
      <w:tr w:rsidR="00E560C4" w14:paraId="10531448" w14:textId="77777777" w:rsidTr="00D764AC">
        <w:tc>
          <w:tcPr>
            <w:tcW w:w="4530" w:type="dxa"/>
          </w:tcPr>
          <w:p w14:paraId="0FFA7A4E" w14:textId="77777777" w:rsidR="00E560C4" w:rsidRPr="00DB37FB" w:rsidRDefault="00E560C4" w:rsidP="00CF107E">
            <w:pPr>
              <w:widowControl w:val="0"/>
              <w:spacing w:line="240" w:lineRule="auto"/>
              <w:jc w:val="center"/>
              <w:outlineLvl w:val="2"/>
              <w:rPr>
                <w:rFonts w:eastAsia="Arial" w:cs="Arial"/>
                <w:sz w:val="20"/>
              </w:rPr>
            </w:pPr>
            <w:proofErr w:type="spellStart"/>
            <w:r w:rsidRPr="00DB37FB">
              <w:rPr>
                <w:rFonts w:eastAsia="Arial" w:cs="Arial"/>
                <w:sz w:val="20"/>
              </w:rPr>
              <w:t>hamburger</w:t>
            </w:r>
            <w:proofErr w:type="spellEnd"/>
            <w:r w:rsidRPr="00DB37FB">
              <w:rPr>
                <w:rFonts w:eastAsia="Arial" w:cs="Arial"/>
                <w:sz w:val="20"/>
              </w:rPr>
              <w:t xml:space="preserve"> </w:t>
            </w:r>
            <w:proofErr w:type="spellStart"/>
            <w:r w:rsidRPr="00DB37FB">
              <w:rPr>
                <w:rFonts w:eastAsia="Arial" w:cs="Arial"/>
                <w:sz w:val="20"/>
              </w:rPr>
              <w:t>arbeit</w:t>
            </w:r>
            <w:proofErr w:type="spellEnd"/>
          </w:p>
        </w:tc>
        <w:tc>
          <w:tcPr>
            <w:tcW w:w="4531" w:type="dxa"/>
          </w:tcPr>
          <w:p w14:paraId="1732BB95" w14:textId="4FE387C5" w:rsidR="00E560C4" w:rsidRDefault="00E560C4" w:rsidP="00CF107E">
            <w:pPr>
              <w:widowControl w:val="0"/>
              <w:spacing w:line="240" w:lineRule="auto"/>
              <w:jc w:val="center"/>
              <w:outlineLvl w:val="2"/>
              <w:rPr>
                <w:rFonts w:eastAsia="Arial" w:cs="Arial"/>
                <w:sz w:val="20"/>
              </w:rPr>
            </w:pPr>
            <w:r>
              <w:rPr>
                <w:rFonts w:eastAsia="Arial" w:cs="Arial"/>
                <w:sz w:val="20"/>
              </w:rPr>
              <w:t>70</w:t>
            </w:r>
          </w:p>
        </w:tc>
      </w:tr>
      <w:tr w:rsidR="00E560C4" w14:paraId="184234ED" w14:textId="77777777" w:rsidTr="00D764AC">
        <w:tc>
          <w:tcPr>
            <w:tcW w:w="4530" w:type="dxa"/>
          </w:tcPr>
          <w:p w14:paraId="5E3DB6C4" w14:textId="77777777" w:rsidR="00E560C4" w:rsidRPr="00DB37FB" w:rsidRDefault="00E560C4" w:rsidP="00CF107E">
            <w:pPr>
              <w:widowControl w:val="0"/>
              <w:spacing w:line="240" w:lineRule="auto"/>
              <w:jc w:val="center"/>
              <w:outlineLvl w:val="2"/>
              <w:rPr>
                <w:rFonts w:eastAsia="Arial" w:cs="Arial"/>
                <w:sz w:val="20"/>
              </w:rPr>
            </w:pPr>
            <w:r w:rsidRPr="00DB37FB">
              <w:rPr>
                <w:rFonts w:eastAsia="Arial" w:cs="Arial"/>
                <w:sz w:val="20"/>
              </w:rPr>
              <w:t>Schuldenhilfe Sofort e.V.</w:t>
            </w:r>
          </w:p>
        </w:tc>
        <w:tc>
          <w:tcPr>
            <w:tcW w:w="4531" w:type="dxa"/>
          </w:tcPr>
          <w:p w14:paraId="00996848" w14:textId="17C9EC30" w:rsidR="00E560C4" w:rsidRDefault="00E560C4" w:rsidP="00CF107E">
            <w:pPr>
              <w:widowControl w:val="0"/>
              <w:spacing w:line="240" w:lineRule="auto"/>
              <w:jc w:val="center"/>
              <w:outlineLvl w:val="2"/>
              <w:rPr>
                <w:rFonts w:eastAsia="Arial" w:cs="Arial"/>
                <w:sz w:val="20"/>
              </w:rPr>
            </w:pPr>
            <w:r>
              <w:rPr>
                <w:rFonts w:eastAsia="Arial" w:cs="Arial"/>
                <w:sz w:val="20"/>
              </w:rPr>
              <w:t>20</w:t>
            </w:r>
          </w:p>
        </w:tc>
      </w:tr>
      <w:tr w:rsidR="00E560C4" w14:paraId="34A486A9" w14:textId="77777777" w:rsidTr="00D764AC">
        <w:tc>
          <w:tcPr>
            <w:tcW w:w="4530" w:type="dxa"/>
          </w:tcPr>
          <w:p w14:paraId="3EF5265D" w14:textId="77777777" w:rsidR="00E560C4" w:rsidRPr="00DB37FB" w:rsidRDefault="00E560C4" w:rsidP="00CF107E">
            <w:pPr>
              <w:widowControl w:val="0"/>
              <w:spacing w:line="240" w:lineRule="auto"/>
              <w:jc w:val="center"/>
              <w:outlineLvl w:val="2"/>
              <w:rPr>
                <w:rFonts w:eastAsia="Arial" w:cs="Arial"/>
                <w:sz w:val="20"/>
              </w:rPr>
            </w:pPr>
            <w:r w:rsidRPr="00DB37FB">
              <w:rPr>
                <w:rFonts w:eastAsia="Arial" w:cs="Arial"/>
                <w:sz w:val="20"/>
              </w:rPr>
              <w:t>Deutsches Rotes Kreuz</w:t>
            </w:r>
          </w:p>
        </w:tc>
        <w:tc>
          <w:tcPr>
            <w:tcW w:w="4531" w:type="dxa"/>
          </w:tcPr>
          <w:p w14:paraId="5DCDA0F4" w14:textId="64488BD5" w:rsidR="00E560C4" w:rsidRDefault="00E560C4" w:rsidP="00CF107E">
            <w:pPr>
              <w:widowControl w:val="0"/>
              <w:spacing w:line="240" w:lineRule="auto"/>
              <w:jc w:val="center"/>
              <w:outlineLvl w:val="2"/>
              <w:rPr>
                <w:rFonts w:eastAsia="Arial" w:cs="Arial"/>
                <w:sz w:val="20"/>
              </w:rPr>
            </w:pPr>
            <w:r>
              <w:rPr>
                <w:rFonts w:eastAsia="Arial" w:cs="Arial"/>
                <w:sz w:val="20"/>
              </w:rPr>
              <w:t>75</w:t>
            </w:r>
          </w:p>
        </w:tc>
      </w:tr>
      <w:tr w:rsidR="00E560C4" w14:paraId="28C10DAA" w14:textId="77777777" w:rsidTr="00D764AC">
        <w:tc>
          <w:tcPr>
            <w:tcW w:w="4530" w:type="dxa"/>
          </w:tcPr>
          <w:p w14:paraId="26CEC8F4" w14:textId="77777777" w:rsidR="00E560C4" w:rsidRPr="00DB37FB" w:rsidRDefault="00E560C4" w:rsidP="00CF107E">
            <w:pPr>
              <w:widowControl w:val="0"/>
              <w:spacing w:line="240" w:lineRule="auto"/>
              <w:jc w:val="center"/>
              <w:outlineLvl w:val="2"/>
              <w:rPr>
                <w:rFonts w:eastAsia="Arial" w:cs="Arial"/>
                <w:sz w:val="20"/>
              </w:rPr>
            </w:pPr>
            <w:r>
              <w:rPr>
                <w:rFonts w:eastAsia="Arial" w:cs="Arial"/>
                <w:sz w:val="20"/>
              </w:rPr>
              <w:t>VZHH</w:t>
            </w:r>
          </w:p>
        </w:tc>
        <w:tc>
          <w:tcPr>
            <w:tcW w:w="4531" w:type="dxa"/>
          </w:tcPr>
          <w:p w14:paraId="65FFFE06" w14:textId="014A202F" w:rsidR="00E560C4" w:rsidRDefault="00E560C4" w:rsidP="00CF107E">
            <w:pPr>
              <w:widowControl w:val="0"/>
              <w:spacing w:line="240" w:lineRule="auto"/>
              <w:jc w:val="center"/>
              <w:outlineLvl w:val="2"/>
              <w:rPr>
                <w:rFonts w:eastAsia="Arial" w:cs="Arial"/>
                <w:sz w:val="20"/>
              </w:rPr>
            </w:pPr>
            <w:r>
              <w:rPr>
                <w:rFonts w:eastAsia="Arial" w:cs="Arial"/>
                <w:sz w:val="20"/>
              </w:rPr>
              <w:t>110</w:t>
            </w:r>
          </w:p>
        </w:tc>
      </w:tr>
    </w:tbl>
    <w:p w14:paraId="2D1DFE93" w14:textId="72BC0E5D" w:rsidR="00E560C4" w:rsidRDefault="00E560C4" w:rsidP="00CF107E">
      <w:pPr>
        <w:widowControl w:val="0"/>
        <w:spacing w:line="240" w:lineRule="auto"/>
        <w:outlineLvl w:val="2"/>
        <w:rPr>
          <w:rFonts w:eastAsia="Arial" w:cs="Arial"/>
          <w:sz w:val="20"/>
          <w:lang w:eastAsia="en-US"/>
        </w:rPr>
      </w:pPr>
    </w:p>
    <w:p w14:paraId="337FF222" w14:textId="6AD6ECE1" w:rsidR="00E560C4" w:rsidRDefault="00E560C4" w:rsidP="00CF107E">
      <w:pPr>
        <w:widowControl w:val="0"/>
        <w:spacing w:line="240" w:lineRule="auto"/>
        <w:jc w:val="both"/>
        <w:outlineLvl w:val="2"/>
        <w:rPr>
          <w:rFonts w:eastAsia="Arial" w:cs="Arial"/>
          <w:sz w:val="20"/>
          <w:lang w:eastAsia="en-US"/>
        </w:rPr>
      </w:pPr>
      <w:r w:rsidRPr="00E560C4">
        <w:rPr>
          <w:rFonts w:eastAsia="Arial" w:cs="Arial"/>
          <w:sz w:val="20"/>
          <w:lang w:eastAsia="en-US"/>
        </w:rPr>
        <w:t xml:space="preserve">Eine möglichst zeitnahe Aufnahme des Beratungsprozesses ist ein Anliegen der zuständigen Behörde. Dabei ist allerdings zu berücksichtigen, dass die Schuldnerberatungsstellen bereits in der Zeit bis zum Erstberatungsgespräch regelmäßig Kontakt zu den </w:t>
      </w:r>
      <w:r>
        <w:rPr>
          <w:rFonts w:eastAsia="Arial" w:cs="Arial"/>
          <w:sz w:val="20"/>
          <w:lang w:eastAsia="en-US"/>
        </w:rPr>
        <w:t xml:space="preserve">Kundinnen und </w:t>
      </w:r>
      <w:r w:rsidRPr="00E560C4">
        <w:rPr>
          <w:rFonts w:eastAsia="Arial" w:cs="Arial"/>
          <w:sz w:val="20"/>
          <w:lang w:eastAsia="en-US"/>
        </w:rPr>
        <w:t>Kunden halten und diese auf die Schuldnerberatung vorbereiten. Dies kann beispielsweise durch den Besuch von Informationsveranstaltungen, durch die Vorbereitung von Unterlagen, durch Termine zur Beantragung der Kostenübernahme und durch kurzfristige Interventionen im Notfall geschehen. Zudem ist zu beachten, dass in der durchschnittlichen Wartezeit auch diejenigen Fälle enthalten sind, in d</w:t>
      </w:r>
      <w:r w:rsidR="00F94A8A">
        <w:rPr>
          <w:rFonts w:eastAsia="Arial" w:cs="Arial"/>
          <w:sz w:val="20"/>
          <w:lang w:eastAsia="en-US"/>
        </w:rPr>
        <w:t>e</w:t>
      </w:r>
      <w:r w:rsidRPr="00E560C4">
        <w:rPr>
          <w:rFonts w:eastAsia="Arial" w:cs="Arial"/>
          <w:sz w:val="20"/>
          <w:lang w:eastAsia="en-US"/>
        </w:rPr>
        <w:t xml:space="preserve">nen sich das Erstberatungsgespräch aus persönlichen Gründen </w:t>
      </w:r>
      <w:r>
        <w:rPr>
          <w:rFonts w:eastAsia="Arial" w:cs="Arial"/>
          <w:sz w:val="20"/>
          <w:lang w:eastAsia="en-US"/>
        </w:rPr>
        <w:t>der Schuldnerin/</w:t>
      </w:r>
      <w:r w:rsidRPr="00E560C4">
        <w:rPr>
          <w:rFonts w:eastAsia="Arial" w:cs="Arial"/>
          <w:sz w:val="20"/>
          <w:lang w:eastAsia="en-US"/>
        </w:rPr>
        <w:t>des Schuldners bzw. auf Grund von Faktoren, die von der Schuldnerberatungsstelle nicht beeinflussbar sind, verzögert.</w:t>
      </w:r>
    </w:p>
    <w:p w14:paraId="31F325D0" w14:textId="77777777" w:rsidR="00A81325" w:rsidRPr="007E7FCC" w:rsidRDefault="00A81325" w:rsidP="00CF107E">
      <w:pPr>
        <w:pStyle w:val="Frage-Nummerierung1"/>
        <w:widowControl w:val="0"/>
        <w:numPr>
          <w:ilvl w:val="0"/>
          <w:numId w:val="0"/>
        </w:numPr>
        <w:spacing w:before="0"/>
        <w:ind w:left="1588" w:hanging="1588"/>
      </w:pPr>
    </w:p>
    <w:p w14:paraId="27EEF0CC" w14:textId="58148BA6" w:rsidR="007E7FCC" w:rsidRDefault="007E7FCC" w:rsidP="00CF107E">
      <w:pPr>
        <w:pStyle w:val="Frage-Nummerierung1"/>
        <w:widowControl w:val="0"/>
        <w:spacing w:before="0"/>
        <w:ind w:left="1701" w:hanging="1701"/>
      </w:pPr>
      <w:r w:rsidRPr="007E7FCC">
        <w:t>Wie viele Anträge auf Übernahme der Energiekosten durch den Härtefallfonds sind bei den anerkannten Schuldnerberatungsstellen im 3. und 4. Quartal 2023 eingegangen?</w:t>
      </w:r>
    </w:p>
    <w:p w14:paraId="273E3D91" w14:textId="19CCAA7C" w:rsidR="00771EEF" w:rsidRDefault="00771EEF" w:rsidP="00CF107E">
      <w:pPr>
        <w:pStyle w:val="Frage-Nummerierung1"/>
        <w:widowControl w:val="0"/>
        <w:numPr>
          <w:ilvl w:val="0"/>
          <w:numId w:val="0"/>
        </w:numPr>
        <w:spacing w:before="0"/>
        <w:ind w:left="1588" w:hanging="1588"/>
      </w:pPr>
    </w:p>
    <w:p w14:paraId="1955F5F9" w14:textId="1A6D53CB" w:rsidR="00771EEF" w:rsidRPr="00771EEF" w:rsidRDefault="00771EEF" w:rsidP="00CF107E">
      <w:pPr>
        <w:widowControl w:val="0"/>
        <w:spacing w:line="240" w:lineRule="auto"/>
        <w:jc w:val="both"/>
        <w:outlineLvl w:val="2"/>
        <w:rPr>
          <w:rFonts w:eastAsia="Arial"/>
          <w:sz w:val="20"/>
          <w:lang w:eastAsia="en-US"/>
        </w:rPr>
      </w:pPr>
      <w:r w:rsidRPr="00771EEF">
        <w:rPr>
          <w:rFonts w:eastAsia="Arial"/>
          <w:sz w:val="20"/>
          <w:lang w:eastAsia="en-US"/>
        </w:rPr>
        <w:t>Nur die Träger der geförderten Schuldnerberatungsstellen können Anträge auf Übernahme der Energiekosten entgegennehmen und prüfen.</w:t>
      </w:r>
      <w:r>
        <w:rPr>
          <w:rFonts w:eastAsia="Arial"/>
          <w:sz w:val="20"/>
          <w:lang w:eastAsia="en-US"/>
        </w:rPr>
        <w:t xml:space="preserve"> </w:t>
      </w:r>
      <w:r w:rsidRPr="00771EEF">
        <w:rPr>
          <w:rFonts w:eastAsia="Arial"/>
          <w:sz w:val="20"/>
          <w:lang w:eastAsia="en-US"/>
        </w:rPr>
        <w:t>Bei diesen sind im dritten Quartal 2023 18 und im vierten Quartal 20 Anträge auf Übernahme der Energiekosten durch den Härtefallfonds eingegangen.</w:t>
      </w:r>
    </w:p>
    <w:p w14:paraId="2DD49A49" w14:textId="77777777" w:rsidR="00A81325" w:rsidRPr="007E7FCC" w:rsidRDefault="00A81325" w:rsidP="00CF107E">
      <w:pPr>
        <w:pStyle w:val="Frage-Nummerierung1"/>
        <w:widowControl w:val="0"/>
        <w:numPr>
          <w:ilvl w:val="0"/>
          <w:numId w:val="0"/>
        </w:numPr>
        <w:spacing w:before="0"/>
        <w:ind w:left="1588" w:hanging="1588"/>
      </w:pPr>
    </w:p>
    <w:p w14:paraId="3D2230C5" w14:textId="44EDF749" w:rsidR="007E7FCC" w:rsidRDefault="007E7FCC" w:rsidP="00CF107E">
      <w:pPr>
        <w:pStyle w:val="Frage-Nummerierung1"/>
        <w:widowControl w:val="0"/>
        <w:spacing w:before="0"/>
        <w:ind w:left="1701" w:hanging="1701"/>
      </w:pPr>
      <w:r w:rsidRPr="007E7FCC">
        <w:t>Zu wann läuft die Vereinbarung mit dem Grundversorger Vattenfall zur Teilnahme am Härtefallfonds aus und ist eine Verlängerung geplant?</w:t>
      </w:r>
    </w:p>
    <w:p w14:paraId="78348A00" w14:textId="129F2414" w:rsidR="00771EEF" w:rsidRDefault="00771EEF" w:rsidP="00CF107E">
      <w:pPr>
        <w:pStyle w:val="Frage-Nummerierung1"/>
        <w:widowControl w:val="0"/>
        <w:numPr>
          <w:ilvl w:val="0"/>
          <w:numId w:val="0"/>
        </w:numPr>
        <w:spacing w:before="0"/>
        <w:ind w:left="1588" w:hanging="1588"/>
      </w:pPr>
    </w:p>
    <w:p w14:paraId="7E37D353" w14:textId="590A8A3A" w:rsidR="00771EEF" w:rsidRPr="00771EEF" w:rsidRDefault="00771EEF" w:rsidP="00CF107E">
      <w:pPr>
        <w:pStyle w:val="Frage-Nummerierung1"/>
        <w:widowControl w:val="0"/>
        <w:numPr>
          <w:ilvl w:val="0"/>
          <w:numId w:val="0"/>
        </w:numPr>
        <w:spacing w:before="0"/>
        <w:ind w:left="1588" w:hanging="1588"/>
        <w:rPr>
          <w:i w:val="0"/>
        </w:rPr>
      </w:pPr>
      <w:r w:rsidRPr="00771EEF">
        <w:rPr>
          <w:i w:val="0"/>
        </w:rPr>
        <w:t>Die Vereinbarung läuft zum 31. März 2024 aus. Es ist keine Verlängerung geplant.</w:t>
      </w:r>
    </w:p>
    <w:p w14:paraId="45611BFB" w14:textId="77777777" w:rsidR="00A81325" w:rsidRPr="007E7FCC" w:rsidRDefault="00A81325" w:rsidP="00CF107E">
      <w:pPr>
        <w:pStyle w:val="Frage-Nummerierung1"/>
        <w:widowControl w:val="0"/>
        <w:numPr>
          <w:ilvl w:val="0"/>
          <w:numId w:val="0"/>
        </w:numPr>
        <w:spacing w:before="0"/>
        <w:ind w:left="1588" w:hanging="1588"/>
      </w:pPr>
    </w:p>
    <w:p w14:paraId="64AC6AFD" w14:textId="13CD0364" w:rsidR="00A81325" w:rsidRDefault="007E7FCC" w:rsidP="00CF107E">
      <w:pPr>
        <w:pStyle w:val="Frage-Nummerierung1"/>
        <w:widowControl w:val="0"/>
        <w:spacing w:before="0"/>
        <w:ind w:left="1701" w:hanging="1701"/>
      </w:pPr>
      <w:r w:rsidRPr="007E7FCC">
        <w:t>Die FHH hat 15 Millionen Euro für den Härtefallfonds zur Verfügung gestellt. Mit welcher Summe hat sich Vattenfall am Härtefallfonds beteiligt?</w:t>
      </w:r>
    </w:p>
    <w:p w14:paraId="3B07D57E" w14:textId="36960529" w:rsidR="00771EEF" w:rsidRDefault="00771EEF" w:rsidP="00CF107E">
      <w:pPr>
        <w:pStyle w:val="Frage-Nummerierung1"/>
        <w:widowControl w:val="0"/>
        <w:numPr>
          <w:ilvl w:val="0"/>
          <w:numId w:val="0"/>
        </w:numPr>
        <w:spacing w:before="0"/>
        <w:ind w:left="1588" w:hanging="1588"/>
      </w:pPr>
    </w:p>
    <w:p w14:paraId="3450CD30" w14:textId="402D6230" w:rsidR="00771EEF" w:rsidRPr="00771EEF" w:rsidRDefault="00771EEF" w:rsidP="00CF107E">
      <w:pPr>
        <w:pStyle w:val="Frage-Nummerierung1"/>
        <w:widowControl w:val="0"/>
        <w:numPr>
          <w:ilvl w:val="0"/>
          <w:numId w:val="0"/>
        </w:numPr>
        <w:spacing w:before="0"/>
        <w:ind w:left="1588" w:hanging="1588"/>
        <w:rPr>
          <w:i w:val="0"/>
        </w:rPr>
      </w:pPr>
      <w:r w:rsidRPr="00771EEF">
        <w:rPr>
          <w:i w:val="0"/>
        </w:rPr>
        <w:t>Vattenfall hat sich mit Stand vom 15. Januar 2024 mit 15.752,11 Euro beteiligt.</w:t>
      </w:r>
    </w:p>
    <w:p w14:paraId="730DB2D2" w14:textId="77777777" w:rsidR="00A81325" w:rsidRDefault="00A81325" w:rsidP="00CF107E">
      <w:pPr>
        <w:pStyle w:val="Frage-Nummerierung1"/>
        <w:widowControl w:val="0"/>
        <w:numPr>
          <w:ilvl w:val="0"/>
          <w:numId w:val="0"/>
        </w:numPr>
        <w:spacing w:before="0"/>
        <w:ind w:left="1701"/>
      </w:pPr>
    </w:p>
    <w:p w14:paraId="6D44897A" w14:textId="2DF50C0F" w:rsidR="007E7FCC" w:rsidRDefault="007E7FCC" w:rsidP="00CF107E">
      <w:pPr>
        <w:pStyle w:val="Frage-Nummerierung1"/>
        <w:widowControl w:val="0"/>
        <w:spacing w:before="0"/>
        <w:ind w:left="1701" w:hanging="1701"/>
      </w:pPr>
      <w:r w:rsidRPr="007E7FCC">
        <w:t>In welcher Höhe wurden bisher Mittel aus dem Härtefallfonds abgerufen?</w:t>
      </w:r>
    </w:p>
    <w:p w14:paraId="2CDC61CF" w14:textId="1DA10B2F" w:rsidR="00771EEF" w:rsidRDefault="00771EEF" w:rsidP="00CF107E">
      <w:pPr>
        <w:pStyle w:val="Frage-Nummerierung1"/>
        <w:widowControl w:val="0"/>
        <w:numPr>
          <w:ilvl w:val="0"/>
          <w:numId w:val="0"/>
        </w:numPr>
        <w:spacing w:before="0"/>
        <w:ind w:left="1588" w:hanging="1588"/>
      </w:pPr>
    </w:p>
    <w:p w14:paraId="4636BA67" w14:textId="787F5AD5" w:rsidR="00771EEF" w:rsidRPr="00771EEF" w:rsidRDefault="00771EEF" w:rsidP="00CF107E">
      <w:pPr>
        <w:pStyle w:val="Frage-Nummerierung1"/>
        <w:widowControl w:val="0"/>
        <w:numPr>
          <w:ilvl w:val="0"/>
          <w:numId w:val="0"/>
        </w:numPr>
        <w:spacing w:before="0"/>
        <w:ind w:left="1588" w:hanging="1588"/>
        <w:rPr>
          <w:i w:val="0"/>
        </w:rPr>
      </w:pPr>
      <w:r w:rsidRPr="00771EEF">
        <w:rPr>
          <w:i w:val="0"/>
        </w:rPr>
        <w:t>Mit Stand vom 15. Januar 2024 wurden 63.008,55 Euro aus dem Härtefallfonds abgerufen.</w:t>
      </w:r>
    </w:p>
    <w:p w14:paraId="0204D6A4" w14:textId="77777777" w:rsidR="00A81325" w:rsidRPr="007E7FCC" w:rsidRDefault="00A81325" w:rsidP="00CF107E">
      <w:pPr>
        <w:pStyle w:val="Frage-Nummerierung1"/>
        <w:widowControl w:val="0"/>
        <w:numPr>
          <w:ilvl w:val="0"/>
          <w:numId w:val="0"/>
        </w:numPr>
        <w:spacing w:before="0"/>
        <w:ind w:left="1588" w:hanging="1588"/>
      </w:pPr>
    </w:p>
    <w:p w14:paraId="795B062D" w14:textId="69D510C2" w:rsidR="007E7FCC" w:rsidRDefault="007E7FCC" w:rsidP="00CF107E">
      <w:pPr>
        <w:pStyle w:val="Frage-Nummerierung1"/>
        <w:widowControl w:val="0"/>
        <w:spacing w:before="0"/>
        <w:ind w:left="1701" w:hanging="1701"/>
      </w:pPr>
      <w:r w:rsidRPr="007E7FCC">
        <w:t>Was passiert mit den nicht abgerufenen Mitteln nach Auslaufen der Vereinbarung mit Vattenfall?</w:t>
      </w:r>
    </w:p>
    <w:p w14:paraId="2DF0C861" w14:textId="09440C48" w:rsidR="00771EEF" w:rsidRDefault="00771EEF" w:rsidP="00CF107E">
      <w:pPr>
        <w:pStyle w:val="Frage-Nummerierung1"/>
        <w:widowControl w:val="0"/>
        <w:numPr>
          <w:ilvl w:val="0"/>
          <w:numId w:val="0"/>
        </w:numPr>
        <w:spacing w:before="0"/>
        <w:ind w:left="1588" w:hanging="1588"/>
      </w:pPr>
    </w:p>
    <w:p w14:paraId="42A7C897" w14:textId="43C50C94" w:rsidR="00707050" w:rsidRDefault="00707050" w:rsidP="00CF107E">
      <w:pPr>
        <w:pStyle w:val="Frage-Nummerierung1"/>
        <w:widowControl w:val="0"/>
        <w:numPr>
          <w:ilvl w:val="0"/>
          <w:numId w:val="0"/>
        </w:numPr>
        <w:spacing w:before="0"/>
        <w:rPr>
          <w:i w:val="0"/>
        </w:rPr>
      </w:pPr>
      <w:r w:rsidRPr="00B2140A">
        <w:rPr>
          <w:i w:val="0"/>
        </w:rPr>
        <w:t>Bedarfe für Maßnahmen des Härtefallfonds aus der Vereinbarung mit Vattenfall werden bis zu deren Beendigung aus der Produktgruppe 253.02 (Hilfen zur Existenzsicherung) finanziert. Nach Ablauf der Vereinbarung werden die Ermächtigungen weiterhin im Sinne des Leistungszwecks der Produktgruppe verwendet.</w:t>
      </w:r>
    </w:p>
    <w:p w14:paraId="2476B414" w14:textId="78E72F64" w:rsidR="00E560C4" w:rsidRDefault="00E560C4" w:rsidP="00CF107E">
      <w:pPr>
        <w:pStyle w:val="Frage-Nummerierung1"/>
        <w:widowControl w:val="0"/>
        <w:numPr>
          <w:ilvl w:val="0"/>
          <w:numId w:val="0"/>
        </w:numPr>
        <w:spacing w:before="0"/>
        <w:rPr>
          <w:i w:val="0"/>
        </w:rPr>
      </w:pPr>
    </w:p>
    <w:p w14:paraId="12B42CFD" w14:textId="77777777" w:rsidR="00A81325" w:rsidRPr="007E7FCC" w:rsidRDefault="00A81325" w:rsidP="00CF107E">
      <w:pPr>
        <w:pStyle w:val="Frage-Nummerierung1"/>
        <w:widowControl w:val="0"/>
        <w:numPr>
          <w:ilvl w:val="0"/>
          <w:numId w:val="0"/>
        </w:numPr>
        <w:spacing w:before="0"/>
        <w:ind w:left="1588" w:hanging="1588"/>
      </w:pPr>
    </w:p>
    <w:p w14:paraId="3408EC1A" w14:textId="1B1225C5" w:rsidR="007E7FCC" w:rsidRDefault="007E7FCC" w:rsidP="00CF107E">
      <w:pPr>
        <w:pStyle w:val="Frage-Nummerierung1"/>
        <w:widowControl w:val="0"/>
        <w:spacing w:before="0"/>
        <w:ind w:left="1701" w:hanging="1701"/>
      </w:pPr>
      <w:r w:rsidRPr="007E7FCC">
        <w:t xml:space="preserve">Wann wurde seitens des Stromgrundversorgers eine Ämtertelefonie eingerichtet und wie häufig wird diese im Wochendurchschnitt von welchen Stellen genutzt? </w:t>
      </w:r>
    </w:p>
    <w:p w14:paraId="223FBB34" w14:textId="01FD7C0E" w:rsidR="00771EEF" w:rsidRDefault="00771EEF" w:rsidP="00CF107E">
      <w:pPr>
        <w:pStyle w:val="Frage-Nummerierung1"/>
        <w:widowControl w:val="0"/>
        <w:numPr>
          <w:ilvl w:val="0"/>
          <w:numId w:val="0"/>
        </w:numPr>
        <w:spacing w:before="0"/>
        <w:ind w:left="1588" w:hanging="1588"/>
      </w:pPr>
    </w:p>
    <w:p w14:paraId="748CE778" w14:textId="426F585C" w:rsidR="00771EEF" w:rsidRPr="00771EEF" w:rsidRDefault="00771EEF" w:rsidP="00CF107E">
      <w:pPr>
        <w:pStyle w:val="Frage-Nummerierung1"/>
        <w:widowControl w:val="0"/>
        <w:numPr>
          <w:ilvl w:val="0"/>
          <w:numId w:val="0"/>
        </w:numPr>
        <w:spacing w:before="0"/>
        <w:rPr>
          <w:i w:val="0"/>
        </w:rPr>
      </w:pPr>
      <w:r>
        <w:rPr>
          <w:i w:val="0"/>
        </w:rPr>
        <w:t xml:space="preserve">Nach Angaben des </w:t>
      </w:r>
      <w:r w:rsidRPr="00771EEF">
        <w:rPr>
          <w:i w:val="0"/>
        </w:rPr>
        <w:t>Stromgrundversorger</w:t>
      </w:r>
      <w:r>
        <w:rPr>
          <w:i w:val="0"/>
        </w:rPr>
        <w:t>s</w:t>
      </w:r>
      <w:r w:rsidRPr="00771EEF">
        <w:rPr>
          <w:i w:val="0"/>
        </w:rPr>
        <w:t xml:space="preserve"> steht die zentrale Hotline seit 2020 zur Verfügung. Weitere Angaben zur Hotline wurden nicht bereitgestellt.</w:t>
      </w:r>
    </w:p>
    <w:p w14:paraId="0F3ED065" w14:textId="77777777" w:rsidR="00A81325" w:rsidRPr="007E7FCC" w:rsidRDefault="00A81325" w:rsidP="00CF107E">
      <w:pPr>
        <w:pStyle w:val="Frage-Nummerierung1"/>
        <w:widowControl w:val="0"/>
        <w:numPr>
          <w:ilvl w:val="0"/>
          <w:numId w:val="0"/>
        </w:numPr>
        <w:spacing w:before="0"/>
        <w:ind w:left="1588" w:hanging="1588"/>
      </w:pPr>
    </w:p>
    <w:p w14:paraId="103D32B3" w14:textId="6AFBA64C" w:rsidR="00131B04" w:rsidRDefault="007E7FCC" w:rsidP="00CF107E">
      <w:pPr>
        <w:pStyle w:val="Frage-Nummerierung1"/>
        <w:widowControl w:val="0"/>
        <w:spacing w:before="0"/>
        <w:ind w:left="1701" w:hanging="1701"/>
      </w:pPr>
      <w:r w:rsidRPr="007E7FCC">
        <w:t>Wie bewerten Stromgrundversorger auf der einen und Schuldnerberatungsstellen auf der anderen Seite die Zusammenarbeit hinsichtlich der Ämtertelefonie?</w:t>
      </w:r>
    </w:p>
    <w:p w14:paraId="5327A48C" w14:textId="32E08147" w:rsidR="00771EEF" w:rsidRDefault="00771EEF" w:rsidP="00CF107E">
      <w:pPr>
        <w:pStyle w:val="Frage-Nummerierung1"/>
        <w:widowControl w:val="0"/>
        <w:numPr>
          <w:ilvl w:val="0"/>
          <w:numId w:val="0"/>
        </w:numPr>
        <w:spacing w:before="0"/>
        <w:ind w:left="1588" w:hanging="1588"/>
      </w:pPr>
    </w:p>
    <w:p w14:paraId="69CC4247" w14:textId="5B654D72" w:rsidR="00771EEF" w:rsidRPr="00771EEF" w:rsidRDefault="00771EEF" w:rsidP="00CF107E">
      <w:pPr>
        <w:pStyle w:val="Frage-Nummerierung1"/>
        <w:widowControl w:val="0"/>
        <w:numPr>
          <w:ilvl w:val="0"/>
          <w:numId w:val="0"/>
        </w:numPr>
        <w:spacing w:before="0"/>
        <w:rPr>
          <w:i w:val="0"/>
        </w:rPr>
      </w:pPr>
      <w:r w:rsidRPr="00771EEF">
        <w:rPr>
          <w:i w:val="0"/>
        </w:rPr>
        <w:t xml:space="preserve">Die Zusammenarbeit wird vom Stromgrundversorger als sehr gut und kooperativ bewertet. Die Schuldnerberatungsstellen nehmen die gesondert für sie eingerichtete Hotline insgesamt als gut erreichbar </w:t>
      </w:r>
      <w:proofErr w:type="gramStart"/>
      <w:r w:rsidRPr="00771EEF">
        <w:rPr>
          <w:i w:val="0"/>
        </w:rPr>
        <w:lastRenderedPageBreak/>
        <w:t>wahr</w:t>
      </w:r>
      <w:proofErr w:type="gramEnd"/>
      <w:r w:rsidRPr="00771EEF">
        <w:rPr>
          <w:i w:val="0"/>
        </w:rPr>
        <w:t>. Bis auf wenige Ausnahmen werden die verschiedenen Anliegen durch den Stromgrundversorger kompetent und zügig bearbeitet. Nur vereinzelt kann es zu längeren Wartezeiten oder variierender Beratungsqualität kommen.</w:t>
      </w:r>
    </w:p>
    <w:sectPr w:rsidR="00771EEF" w:rsidRPr="00771EEF" w:rsidSect="00CF107E">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1418" w:bottom="1134" w:left="1418" w:header="567" w:footer="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2AEC685" w16cex:dateUtc="2024-01-20T16: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9FD3C" w14:textId="77777777" w:rsidR="00B92C64" w:rsidRDefault="00B92C64">
      <w:r>
        <w:separator/>
      </w:r>
    </w:p>
  </w:endnote>
  <w:endnote w:type="continuationSeparator" w:id="0">
    <w:p w14:paraId="394D32BB" w14:textId="77777777" w:rsidR="00B92C64" w:rsidRDefault="00B9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BB53D" w14:textId="37BC75E1" w:rsidR="00D85544" w:rsidRPr="00D85544" w:rsidRDefault="00D85544">
    <w:pPr>
      <w:pStyle w:val="Fuzeile"/>
      <w:rPr>
        <w:rFonts w:cs="Arial"/>
        <w:sz w:val="20"/>
      </w:rPr>
    </w:pPr>
    <w:r>
      <w:rPr>
        <w:rFonts w:cs="Arial"/>
        <w:sz w:val="20"/>
      </w:rPr>
      <w:t>22-14065</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Pr>
        <w:rFonts w:cs="Arial"/>
        <w:noProof/>
        <w:sz w:val="20"/>
      </w:rPr>
      <w:t>1</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sidR="008E7993">
      <w:rPr>
        <w:rFonts w:cs="Arial"/>
        <w:noProof/>
        <w:sz w:val="20"/>
      </w:rPr>
      <w:t>5</w:t>
    </w:r>
    <w:r>
      <w:rPr>
        <w:rFonts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0E2B7" w14:textId="015EC5A8" w:rsidR="00D85544" w:rsidRPr="00D85544" w:rsidRDefault="00D85544">
    <w:pPr>
      <w:pStyle w:val="Fuzeile"/>
      <w:rPr>
        <w:rFonts w:cs="Arial"/>
        <w:sz w:val="20"/>
      </w:rPr>
    </w:pPr>
    <w:r>
      <w:rPr>
        <w:rFonts w:cs="Arial"/>
        <w:sz w:val="20"/>
      </w:rPr>
      <w:t>22-14065</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sidR="008E7993">
      <w:rPr>
        <w:rFonts w:cs="Arial"/>
        <w:noProof/>
        <w:sz w:val="20"/>
      </w:rPr>
      <w:t>5</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sidR="008E7993">
      <w:rPr>
        <w:rFonts w:cs="Arial"/>
        <w:noProof/>
        <w:sz w:val="20"/>
      </w:rPr>
      <w:t>5</w:t>
    </w:r>
    <w:r>
      <w:rP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20"/>
      </w:rPr>
      <w:id w:val="354998891"/>
      <w:docPartObj>
        <w:docPartGallery w:val="Page Numbers (Bottom of Page)"/>
        <w:docPartUnique/>
      </w:docPartObj>
    </w:sdtPr>
    <w:sdtEndPr/>
    <w:sdtContent>
      <w:p w14:paraId="1055E52C" w14:textId="1733D0AC" w:rsidR="00CF107E" w:rsidRPr="00D85544" w:rsidRDefault="00D85544">
        <w:pPr>
          <w:pStyle w:val="Fuzeile"/>
          <w:jc w:val="center"/>
          <w:rPr>
            <w:rFonts w:cs="Arial"/>
            <w:sz w:val="20"/>
          </w:rPr>
        </w:pPr>
        <w:r>
          <w:rPr>
            <w:rFonts w:cs="Arial"/>
            <w:sz w:val="20"/>
          </w:rPr>
          <w:t>22-14065</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sidR="008E7993">
          <w:rPr>
            <w:rFonts w:cs="Arial"/>
            <w:noProof/>
            <w:sz w:val="20"/>
          </w:rPr>
          <w:t>1</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sidR="008E7993">
          <w:rPr>
            <w:rFonts w:cs="Arial"/>
            <w:noProof/>
            <w:sz w:val="20"/>
          </w:rPr>
          <w:t>5</w:t>
        </w:r>
        <w:r>
          <w:rPr>
            <w:rFonts w:cs="Arial"/>
            <w:sz w:val="20"/>
          </w:rPr>
          <w:fldChar w:fldCharType="end"/>
        </w:r>
      </w:p>
    </w:sdtContent>
  </w:sdt>
  <w:p w14:paraId="5617B5DD" w14:textId="77777777" w:rsidR="00CF107E" w:rsidRPr="00D85544" w:rsidRDefault="00CF107E">
    <w:pPr>
      <w:pStyle w:val="Fuzeile"/>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80FF8" w14:textId="77777777" w:rsidR="00B92C64" w:rsidRDefault="00B92C64">
      <w:r>
        <w:separator/>
      </w:r>
    </w:p>
  </w:footnote>
  <w:footnote w:type="continuationSeparator" w:id="0">
    <w:p w14:paraId="68A3837C" w14:textId="77777777" w:rsidR="00B92C64" w:rsidRDefault="00B92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CF25" w14:textId="77777777" w:rsidR="00AF0E82" w:rsidRDefault="00AF0E8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96CC7EF" w14:textId="77777777" w:rsidR="00AF0E82" w:rsidRDefault="00AF0E8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F37D0" w14:textId="5DBFED4D" w:rsidR="00AF0E82" w:rsidRPr="00CF107E" w:rsidRDefault="00AF0E82">
    <w:pPr>
      <w:pStyle w:val="Kopfzeile"/>
      <w:framePr w:wrap="around" w:vAnchor="text" w:hAnchor="margin" w:xAlign="center" w:y="1"/>
      <w:rPr>
        <w:rStyle w:val="Seitenzahl"/>
        <w:sz w:val="20"/>
      </w:rPr>
    </w:pPr>
    <w:r w:rsidRPr="00CF107E">
      <w:rPr>
        <w:rStyle w:val="Seitenzahl"/>
        <w:sz w:val="20"/>
      </w:rPr>
      <w:fldChar w:fldCharType="begin"/>
    </w:r>
    <w:r w:rsidRPr="00CF107E">
      <w:rPr>
        <w:rStyle w:val="Seitenzahl"/>
        <w:sz w:val="20"/>
      </w:rPr>
      <w:instrText xml:space="preserve">PAGE  </w:instrText>
    </w:r>
    <w:r w:rsidRPr="00CF107E">
      <w:rPr>
        <w:rStyle w:val="Seitenzahl"/>
        <w:sz w:val="20"/>
      </w:rPr>
      <w:fldChar w:fldCharType="separate"/>
    </w:r>
    <w:r w:rsidR="008E7993">
      <w:rPr>
        <w:rStyle w:val="Seitenzahl"/>
        <w:noProof/>
        <w:sz w:val="20"/>
      </w:rPr>
      <w:t>5</w:t>
    </w:r>
    <w:r w:rsidRPr="00CF107E">
      <w:rPr>
        <w:rStyle w:val="Seitenzahl"/>
        <w:sz w:val="20"/>
      </w:rPr>
      <w:fldChar w:fldCharType="end"/>
    </w:r>
  </w:p>
  <w:p w14:paraId="0F7CFFBB" w14:textId="77777777" w:rsidR="00AF0E82" w:rsidRDefault="00AF0E8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D6E6A" w14:textId="77777777" w:rsidR="00D85544" w:rsidRDefault="00D855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75DA0"/>
    <w:multiLevelType w:val="hybridMultilevel"/>
    <w:tmpl w:val="26C81AE4"/>
    <w:lvl w:ilvl="0" w:tplc="04070001">
      <w:start w:val="1"/>
      <w:numFmt w:val="bullet"/>
      <w:lvlText w:val=""/>
      <w:lvlJc w:val="left"/>
      <w:pPr>
        <w:ind w:left="2308" w:hanging="360"/>
      </w:pPr>
      <w:rPr>
        <w:rFonts w:ascii="Symbol" w:hAnsi="Symbol" w:hint="default"/>
      </w:rPr>
    </w:lvl>
    <w:lvl w:ilvl="1" w:tplc="04070003">
      <w:start w:val="1"/>
      <w:numFmt w:val="bullet"/>
      <w:lvlText w:val="o"/>
      <w:lvlJc w:val="left"/>
      <w:pPr>
        <w:ind w:left="3028" w:hanging="360"/>
      </w:pPr>
      <w:rPr>
        <w:rFonts w:ascii="Courier New" w:hAnsi="Courier New" w:cs="Courier New" w:hint="default"/>
      </w:rPr>
    </w:lvl>
    <w:lvl w:ilvl="2" w:tplc="04070005">
      <w:start w:val="1"/>
      <w:numFmt w:val="bullet"/>
      <w:lvlText w:val=""/>
      <w:lvlJc w:val="left"/>
      <w:pPr>
        <w:ind w:left="3748" w:hanging="360"/>
      </w:pPr>
      <w:rPr>
        <w:rFonts w:ascii="Wingdings" w:hAnsi="Wingdings" w:hint="default"/>
      </w:rPr>
    </w:lvl>
    <w:lvl w:ilvl="3" w:tplc="04070001">
      <w:start w:val="1"/>
      <w:numFmt w:val="bullet"/>
      <w:lvlText w:val=""/>
      <w:lvlJc w:val="left"/>
      <w:pPr>
        <w:ind w:left="4468" w:hanging="360"/>
      </w:pPr>
      <w:rPr>
        <w:rFonts w:ascii="Symbol" w:hAnsi="Symbol" w:hint="default"/>
      </w:rPr>
    </w:lvl>
    <w:lvl w:ilvl="4" w:tplc="04070003">
      <w:start w:val="1"/>
      <w:numFmt w:val="bullet"/>
      <w:lvlText w:val="o"/>
      <w:lvlJc w:val="left"/>
      <w:pPr>
        <w:ind w:left="5188" w:hanging="360"/>
      </w:pPr>
      <w:rPr>
        <w:rFonts w:ascii="Courier New" w:hAnsi="Courier New" w:cs="Courier New" w:hint="default"/>
      </w:rPr>
    </w:lvl>
    <w:lvl w:ilvl="5" w:tplc="04070005">
      <w:start w:val="1"/>
      <w:numFmt w:val="bullet"/>
      <w:lvlText w:val=""/>
      <w:lvlJc w:val="left"/>
      <w:pPr>
        <w:ind w:left="5908" w:hanging="360"/>
      </w:pPr>
      <w:rPr>
        <w:rFonts w:ascii="Wingdings" w:hAnsi="Wingdings" w:hint="default"/>
      </w:rPr>
    </w:lvl>
    <w:lvl w:ilvl="6" w:tplc="04070001">
      <w:start w:val="1"/>
      <w:numFmt w:val="bullet"/>
      <w:lvlText w:val=""/>
      <w:lvlJc w:val="left"/>
      <w:pPr>
        <w:ind w:left="6628" w:hanging="360"/>
      </w:pPr>
      <w:rPr>
        <w:rFonts w:ascii="Symbol" w:hAnsi="Symbol" w:hint="default"/>
      </w:rPr>
    </w:lvl>
    <w:lvl w:ilvl="7" w:tplc="04070003">
      <w:start w:val="1"/>
      <w:numFmt w:val="bullet"/>
      <w:lvlText w:val="o"/>
      <w:lvlJc w:val="left"/>
      <w:pPr>
        <w:ind w:left="7348" w:hanging="360"/>
      </w:pPr>
      <w:rPr>
        <w:rFonts w:ascii="Courier New" w:hAnsi="Courier New" w:cs="Courier New" w:hint="default"/>
      </w:rPr>
    </w:lvl>
    <w:lvl w:ilvl="8" w:tplc="04070005">
      <w:start w:val="1"/>
      <w:numFmt w:val="bullet"/>
      <w:lvlText w:val=""/>
      <w:lvlJc w:val="left"/>
      <w:pPr>
        <w:ind w:left="8068" w:hanging="360"/>
      </w:pPr>
      <w:rPr>
        <w:rFonts w:ascii="Wingdings" w:hAnsi="Wingdings" w:hint="default"/>
      </w:rPr>
    </w:lvl>
  </w:abstractNum>
  <w:abstractNum w:abstractNumId="1" w15:restartNumberingAfterBreak="0">
    <w:nsid w:val="4E491F36"/>
    <w:multiLevelType w:val="hybridMultilevel"/>
    <w:tmpl w:val="071E559E"/>
    <w:lvl w:ilvl="0" w:tplc="04070001">
      <w:start w:val="1"/>
      <w:numFmt w:val="bullet"/>
      <w:lvlText w:val=""/>
      <w:lvlJc w:val="left"/>
      <w:pPr>
        <w:ind w:left="2138" w:hanging="360"/>
      </w:pPr>
      <w:rPr>
        <w:rFonts w:ascii="Symbol" w:hAnsi="Symbol" w:hint="default"/>
      </w:rPr>
    </w:lvl>
    <w:lvl w:ilvl="1" w:tplc="04070003">
      <w:start w:val="1"/>
      <w:numFmt w:val="bullet"/>
      <w:lvlText w:val="o"/>
      <w:lvlJc w:val="left"/>
      <w:pPr>
        <w:ind w:left="2858" w:hanging="360"/>
      </w:pPr>
      <w:rPr>
        <w:rFonts w:ascii="Courier New" w:hAnsi="Courier New" w:cs="Courier New" w:hint="default"/>
      </w:rPr>
    </w:lvl>
    <w:lvl w:ilvl="2" w:tplc="04070005">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 w15:restartNumberingAfterBreak="0">
    <w:nsid w:val="5E0071EF"/>
    <w:multiLevelType w:val="multilevel"/>
    <w:tmpl w:val="A216C180"/>
    <w:styleLink w:val="zzzListeFrage"/>
    <w:lvl w:ilvl="0">
      <w:start w:val="1"/>
      <w:numFmt w:val="decimal"/>
      <w:pStyle w:val="Frage-Nummerierung1"/>
      <w:lvlText w:val="Frage %1:"/>
      <w:lvlJc w:val="left"/>
      <w:pPr>
        <w:ind w:left="1588" w:hanging="1588"/>
      </w:pPr>
      <w:rPr>
        <w:rFonts w:ascii="Calibri" w:hAnsi="Calibr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3" w15:restartNumberingAfterBreak="0">
    <w:nsid w:val="79BB3B79"/>
    <w:multiLevelType w:val="hybridMultilevel"/>
    <w:tmpl w:val="98B6F01A"/>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num w:numId="1">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2">
    <w:abstractNumId w:val="2"/>
  </w:num>
  <w:num w:numId="3">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4">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5">
    <w:abstractNumId w:val="1"/>
  </w:num>
  <w:num w:numId="6">
    <w:abstractNumId w:val="3"/>
  </w:num>
  <w:num w:numId="7">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8">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9">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10">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11">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12">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13">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14">
    <w:abstractNumId w:val="2"/>
    <w:lvlOverride w:ilvl="0">
      <w:lvl w:ilvl="0">
        <w:start w:val="1"/>
        <w:numFmt w:val="decimal"/>
        <w:pStyle w:val="Frage-Nummerierung1"/>
        <w:lvlText w:val="Frage %1:"/>
        <w:lvlJc w:val="left"/>
        <w:pPr>
          <w:ind w:left="1588" w:hanging="1588"/>
        </w:pPr>
        <w:rPr>
          <w:rFonts w:asciiTheme="minorHAnsi" w:hAnsiTheme="minorHAnsi" w:hint="default"/>
          <w:b/>
          <w:i/>
        </w:rPr>
      </w:lvl>
    </w:lvlOverride>
  </w:num>
  <w:num w:numId="15">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16">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17">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18">
    <w:abstractNumId w:val="0"/>
  </w:num>
  <w:num w:numId="19">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20">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21">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 w:numId="22">
    <w:abstractNumId w:val="2"/>
    <w:lvlOverride w:ilvl="0">
      <w:lvl w:ilvl="0">
        <w:start w:val="1"/>
        <w:numFmt w:val="decimal"/>
        <w:pStyle w:val="Frage-Nummerierung1"/>
        <w:lvlText w:val="Frage %1:"/>
        <w:lvlJc w:val="left"/>
        <w:pPr>
          <w:ind w:left="1588" w:hanging="1588"/>
        </w:pPr>
        <w:rPr>
          <w:rFonts w:ascii="Arial" w:hAnsi="Arial" w:cs="Arial" w:hint="default"/>
          <w:b/>
          <w:i/>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7A"/>
    <w:rsid w:val="00000B48"/>
    <w:rsid w:val="00000BA4"/>
    <w:rsid w:val="00002ADB"/>
    <w:rsid w:val="00006B01"/>
    <w:rsid w:val="00012492"/>
    <w:rsid w:val="000153C0"/>
    <w:rsid w:val="00021478"/>
    <w:rsid w:val="00042C45"/>
    <w:rsid w:val="00052B45"/>
    <w:rsid w:val="0006226F"/>
    <w:rsid w:val="00063BAB"/>
    <w:rsid w:val="00065054"/>
    <w:rsid w:val="000674B4"/>
    <w:rsid w:val="0007315E"/>
    <w:rsid w:val="0007709A"/>
    <w:rsid w:val="000776C6"/>
    <w:rsid w:val="00081F4A"/>
    <w:rsid w:val="00085F35"/>
    <w:rsid w:val="00086F71"/>
    <w:rsid w:val="00087DE9"/>
    <w:rsid w:val="00092C03"/>
    <w:rsid w:val="00096553"/>
    <w:rsid w:val="000A1FFC"/>
    <w:rsid w:val="000A2056"/>
    <w:rsid w:val="000B3D8E"/>
    <w:rsid w:val="000B46F8"/>
    <w:rsid w:val="000C17CE"/>
    <w:rsid w:val="000C2135"/>
    <w:rsid w:val="000C3A4A"/>
    <w:rsid w:val="000C3CEB"/>
    <w:rsid w:val="000C4FAC"/>
    <w:rsid w:val="000D10F8"/>
    <w:rsid w:val="000D18B4"/>
    <w:rsid w:val="000D2F1C"/>
    <w:rsid w:val="000D6698"/>
    <w:rsid w:val="000E066D"/>
    <w:rsid w:val="000E1970"/>
    <w:rsid w:val="000E1DD9"/>
    <w:rsid w:val="000E5856"/>
    <w:rsid w:val="000E7A71"/>
    <w:rsid w:val="000F5FD7"/>
    <w:rsid w:val="00104594"/>
    <w:rsid w:val="001048A2"/>
    <w:rsid w:val="001140FF"/>
    <w:rsid w:val="00122004"/>
    <w:rsid w:val="00123C0A"/>
    <w:rsid w:val="00126B35"/>
    <w:rsid w:val="00127138"/>
    <w:rsid w:val="00131B04"/>
    <w:rsid w:val="00132576"/>
    <w:rsid w:val="0014555A"/>
    <w:rsid w:val="00146E41"/>
    <w:rsid w:val="001470AE"/>
    <w:rsid w:val="00155186"/>
    <w:rsid w:val="00157343"/>
    <w:rsid w:val="001619AB"/>
    <w:rsid w:val="00162057"/>
    <w:rsid w:val="001635F7"/>
    <w:rsid w:val="00163789"/>
    <w:rsid w:val="001670CC"/>
    <w:rsid w:val="00167437"/>
    <w:rsid w:val="00176E79"/>
    <w:rsid w:val="00177C89"/>
    <w:rsid w:val="0018345B"/>
    <w:rsid w:val="001879AA"/>
    <w:rsid w:val="001939A2"/>
    <w:rsid w:val="001A13EA"/>
    <w:rsid w:val="001A79A7"/>
    <w:rsid w:val="001B2E05"/>
    <w:rsid w:val="001C39F0"/>
    <w:rsid w:val="001C4CA7"/>
    <w:rsid w:val="001D52E6"/>
    <w:rsid w:val="001D592B"/>
    <w:rsid w:val="001E6C76"/>
    <w:rsid w:val="001E7334"/>
    <w:rsid w:val="001F220B"/>
    <w:rsid w:val="00204E84"/>
    <w:rsid w:val="00215750"/>
    <w:rsid w:val="00215E99"/>
    <w:rsid w:val="00216468"/>
    <w:rsid w:val="00217D86"/>
    <w:rsid w:val="00217F1D"/>
    <w:rsid w:val="00220201"/>
    <w:rsid w:val="00224F9D"/>
    <w:rsid w:val="00236565"/>
    <w:rsid w:val="002448EA"/>
    <w:rsid w:val="0024498A"/>
    <w:rsid w:val="00250D0E"/>
    <w:rsid w:val="00254F7A"/>
    <w:rsid w:val="002555B2"/>
    <w:rsid w:val="00256A80"/>
    <w:rsid w:val="00257D72"/>
    <w:rsid w:val="00261A40"/>
    <w:rsid w:val="002638A5"/>
    <w:rsid w:val="00282058"/>
    <w:rsid w:val="0028669D"/>
    <w:rsid w:val="00286B3E"/>
    <w:rsid w:val="00287D6C"/>
    <w:rsid w:val="00290512"/>
    <w:rsid w:val="002A1D20"/>
    <w:rsid w:val="002A3F38"/>
    <w:rsid w:val="002A6455"/>
    <w:rsid w:val="002A6A57"/>
    <w:rsid w:val="002B5F4E"/>
    <w:rsid w:val="002B7DA9"/>
    <w:rsid w:val="002D0435"/>
    <w:rsid w:val="002D2ED6"/>
    <w:rsid w:val="002D34E2"/>
    <w:rsid w:val="002E4182"/>
    <w:rsid w:val="00300E62"/>
    <w:rsid w:val="0030561B"/>
    <w:rsid w:val="00310E8A"/>
    <w:rsid w:val="00311F38"/>
    <w:rsid w:val="00320D9D"/>
    <w:rsid w:val="00321A6D"/>
    <w:rsid w:val="003262C1"/>
    <w:rsid w:val="00331570"/>
    <w:rsid w:val="00331604"/>
    <w:rsid w:val="003374DF"/>
    <w:rsid w:val="003421CD"/>
    <w:rsid w:val="003457C3"/>
    <w:rsid w:val="00346C8D"/>
    <w:rsid w:val="0035138D"/>
    <w:rsid w:val="00356403"/>
    <w:rsid w:val="0035759C"/>
    <w:rsid w:val="003620F6"/>
    <w:rsid w:val="0036553B"/>
    <w:rsid w:val="00367466"/>
    <w:rsid w:val="00376E14"/>
    <w:rsid w:val="00380674"/>
    <w:rsid w:val="00385322"/>
    <w:rsid w:val="003A15C2"/>
    <w:rsid w:val="003A4814"/>
    <w:rsid w:val="003B194F"/>
    <w:rsid w:val="003B3099"/>
    <w:rsid w:val="003B4F76"/>
    <w:rsid w:val="003B6051"/>
    <w:rsid w:val="003D0DC5"/>
    <w:rsid w:val="003D22DC"/>
    <w:rsid w:val="003D5029"/>
    <w:rsid w:val="003E2E94"/>
    <w:rsid w:val="003E643A"/>
    <w:rsid w:val="003F02D7"/>
    <w:rsid w:val="003F323E"/>
    <w:rsid w:val="003F4D15"/>
    <w:rsid w:val="00400877"/>
    <w:rsid w:val="00403255"/>
    <w:rsid w:val="004143D0"/>
    <w:rsid w:val="0041599D"/>
    <w:rsid w:val="00416643"/>
    <w:rsid w:val="00434CA6"/>
    <w:rsid w:val="00436C65"/>
    <w:rsid w:val="00440907"/>
    <w:rsid w:val="00440E25"/>
    <w:rsid w:val="00441997"/>
    <w:rsid w:val="00443F33"/>
    <w:rsid w:val="004530F8"/>
    <w:rsid w:val="004627D8"/>
    <w:rsid w:val="00464C82"/>
    <w:rsid w:val="00466295"/>
    <w:rsid w:val="0047117F"/>
    <w:rsid w:val="00472789"/>
    <w:rsid w:val="00483C78"/>
    <w:rsid w:val="004875EE"/>
    <w:rsid w:val="004902EC"/>
    <w:rsid w:val="0049211A"/>
    <w:rsid w:val="00492CC6"/>
    <w:rsid w:val="00494F18"/>
    <w:rsid w:val="004952B7"/>
    <w:rsid w:val="00497078"/>
    <w:rsid w:val="004A1063"/>
    <w:rsid w:val="004A1A07"/>
    <w:rsid w:val="004A2328"/>
    <w:rsid w:val="004A333E"/>
    <w:rsid w:val="004A40F4"/>
    <w:rsid w:val="004A4991"/>
    <w:rsid w:val="004B0F19"/>
    <w:rsid w:val="004B3ABF"/>
    <w:rsid w:val="004B5218"/>
    <w:rsid w:val="004B5896"/>
    <w:rsid w:val="004C119B"/>
    <w:rsid w:val="004C6959"/>
    <w:rsid w:val="004D0E68"/>
    <w:rsid w:val="004D1E89"/>
    <w:rsid w:val="004D5467"/>
    <w:rsid w:val="004D6179"/>
    <w:rsid w:val="004D6ECF"/>
    <w:rsid w:val="004E1956"/>
    <w:rsid w:val="004E4D95"/>
    <w:rsid w:val="004F06B3"/>
    <w:rsid w:val="004F155D"/>
    <w:rsid w:val="004F6F0D"/>
    <w:rsid w:val="004F75C7"/>
    <w:rsid w:val="005015DA"/>
    <w:rsid w:val="005042DD"/>
    <w:rsid w:val="0051173F"/>
    <w:rsid w:val="00517DC6"/>
    <w:rsid w:val="00520509"/>
    <w:rsid w:val="0053116B"/>
    <w:rsid w:val="00531AF9"/>
    <w:rsid w:val="005564FA"/>
    <w:rsid w:val="005600C0"/>
    <w:rsid w:val="00564EF0"/>
    <w:rsid w:val="00566F85"/>
    <w:rsid w:val="00573512"/>
    <w:rsid w:val="00581CC4"/>
    <w:rsid w:val="005823C6"/>
    <w:rsid w:val="00593BF6"/>
    <w:rsid w:val="00594A65"/>
    <w:rsid w:val="005978D7"/>
    <w:rsid w:val="005A5AB0"/>
    <w:rsid w:val="005B15FB"/>
    <w:rsid w:val="005B3E58"/>
    <w:rsid w:val="005B776D"/>
    <w:rsid w:val="005C0F17"/>
    <w:rsid w:val="005C4CC3"/>
    <w:rsid w:val="005D1542"/>
    <w:rsid w:val="005D6EBB"/>
    <w:rsid w:val="005E007B"/>
    <w:rsid w:val="005E014E"/>
    <w:rsid w:val="005E2F3F"/>
    <w:rsid w:val="005E3F4E"/>
    <w:rsid w:val="005F24BD"/>
    <w:rsid w:val="005F3D57"/>
    <w:rsid w:val="005F4080"/>
    <w:rsid w:val="005F5AC7"/>
    <w:rsid w:val="0060396F"/>
    <w:rsid w:val="00605711"/>
    <w:rsid w:val="0060592A"/>
    <w:rsid w:val="006059BD"/>
    <w:rsid w:val="00611767"/>
    <w:rsid w:val="0061361E"/>
    <w:rsid w:val="00617414"/>
    <w:rsid w:val="00617EA5"/>
    <w:rsid w:val="006200CD"/>
    <w:rsid w:val="00621FC4"/>
    <w:rsid w:val="0062282D"/>
    <w:rsid w:val="00624CF8"/>
    <w:rsid w:val="00625469"/>
    <w:rsid w:val="0063137A"/>
    <w:rsid w:val="00636D80"/>
    <w:rsid w:val="00637794"/>
    <w:rsid w:val="00640BDE"/>
    <w:rsid w:val="00642AA0"/>
    <w:rsid w:val="00643A4E"/>
    <w:rsid w:val="00646078"/>
    <w:rsid w:val="00653F2E"/>
    <w:rsid w:val="006569D8"/>
    <w:rsid w:val="00657703"/>
    <w:rsid w:val="006579BB"/>
    <w:rsid w:val="00660748"/>
    <w:rsid w:val="00660E47"/>
    <w:rsid w:val="00676229"/>
    <w:rsid w:val="006819BD"/>
    <w:rsid w:val="00682416"/>
    <w:rsid w:val="00682476"/>
    <w:rsid w:val="00686F00"/>
    <w:rsid w:val="006908CD"/>
    <w:rsid w:val="006923D1"/>
    <w:rsid w:val="00694FB5"/>
    <w:rsid w:val="006A193C"/>
    <w:rsid w:val="006A21E0"/>
    <w:rsid w:val="006A53FD"/>
    <w:rsid w:val="006A656B"/>
    <w:rsid w:val="006B0BB6"/>
    <w:rsid w:val="006B1093"/>
    <w:rsid w:val="006B351D"/>
    <w:rsid w:val="006B3958"/>
    <w:rsid w:val="006D42A5"/>
    <w:rsid w:val="006E4633"/>
    <w:rsid w:val="006E64D1"/>
    <w:rsid w:val="006F6078"/>
    <w:rsid w:val="006F6A31"/>
    <w:rsid w:val="0070145B"/>
    <w:rsid w:val="00704510"/>
    <w:rsid w:val="0070518F"/>
    <w:rsid w:val="00705A8B"/>
    <w:rsid w:val="00707050"/>
    <w:rsid w:val="00710772"/>
    <w:rsid w:val="0071095E"/>
    <w:rsid w:val="0071478E"/>
    <w:rsid w:val="00714901"/>
    <w:rsid w:val="00720D58"/>
    <w:rsid w:val="00721473"/>
    <w:rsid w:val="0073003A"/>
    <w:rsid w:val="00742614"/>
    <w:rsid w:val="00751727"/>
    <w:rsid w:val="00754457"/>
    <w:rsid w:val="00757885"/>
    <w:rsid w:val="00757F32"/>
    <w:rsid w:val="0076030C"/>
    <w:rsid w:val="00760EA9"/>
    <w:rsid w:val="0076155F"/>
    <w:rsid w:val="00766B96"/>
    <w:rsid w:val="00771866"/>
    <w:rsid w:val="00771EEF"/>
    <w:rsid w:val="007750EC"/>
    <w:rsid w:val="00776378"/>
    <w:rsid w:val="00791FFA"/>
    <w:rsid w:val="0079438F"/>
    <w:rsid w:val="007A4821"/>
    <w:rsid w:val="007B4077"/>
    <w:rsid w:val="007B496D"/>
    <w:rsid w:val="007B6DCE"/>
    <w:rsid w:val="007C3747"/>
    <w:rsid w:val="007C45FC"/>
    <w:rsid w:val="007C5532"/>
    <w:rsid w:val="007C79AD"/>
    <w:rsid w:val="007D2A7C"/>
    <w:rsid w:val="007D3722"/>
    <w:rsid w:val="007D62BD"/>
    <w:rsid w:val="007E0C73"/>
    <w:rsid w:val="007E296D"/>
    <w:rsid w:val="007E464C"/>
    <w:rsid w:val="007E7FCC"/>
    <w:rsid w:val="008061E5"/>
    <w:rsid w:val="008072EF"/>
    <w:rsid w:val="0080798A"/>
    <w:rsid w:val="008126C3"/>
    <w:rsid w:val="0081299E"/>
    <w:rsid w:val="0082014E"/>
    <w:rsid w:val="00821B86"/>
    <w:rsid w:val="00821F1C"/>
    <w:rsid w:val="0082604F"/>
    <w:rsid w:val="0083157F"/>
    <w:rsid w:val="0083284F"/>
    <w:rsid w:val="008357C8"/>
    <w:rsid w:val="008430B2"/>
    <w:rsid w:val="00845747"/>
    <w:rsid w:val="008519D2"/>
    <w:rsid w:val="00862256"/>
    <w:rsid w:val="00863565"/>
    <w:rsid w:val="0086520C"/>
    <w:rsid w:val="008653BC"/>
    <w:rsid w:val="00871C76"/>
    <w:rsid w:val="0087294A"/>
    <w:rsid w:val="00875B81"/>
    <w:rsid w:val="00883E06"/>
    <w:rsid w:val="00885340"/>
    <w:rsid w:val="008905B0"/>
    <w:rsid w:val="00890711"/>
    <w:rsid w:val="00893194"/>
    <w:rsid w:val="008942E8"/>
    <w:rsid w:val="008A5405"/>
    <w:rsid w:val="008B26E7"/>
    <w:rsid w:val="008B6C58"/>
    <w:rsid w:val="008C1095"/>
    <w:rsid w:val="008C12E3"/>
    <w:rsid w:val="008C403E"/>
    <w:rsid w:val="008C4307"/>
    <w:rsid w:val="008C6787"/>
    <w:rsid w:val="008C746E"/>
    <w:rsid w:val="008D1009"/>
    <w:rsid w:val="008D3698"/>
    <w:rsid w:val="008D49CD"/>
    <w:rsid w:val="008E0714"/>
    <w:rsid w:val="008E0E26"/>
    <w:rsid w:val="008E5884"/>
    <w:rsid w:val="008E59C0"/>
    <w:rsid w:val="008E7993"/>
    <w:rsid w:val="008F0A31"/>
    <w:rsid w:val="008F1105"/>
    <w:rsid w:val="00901A20"/>
    <w:rsid w:val="00903AF2"/>
    <w:rsid w:val="00906816"/>
    <w:rsid w:val="00907326"/>
    <w:rsid w:val="00907BC3"/>
    <w:rsid w:val="00907E28"/>
    <w:rsid w:val="009205BA"/>
    <w:rsid w:val="00924706"/>
    <w:rsid w:val="009309EA"/>
    <w:rsid w:val="00933754"/>
    <w:rsid w:val="009340FE"/>
    <w:rsid w:val="00937D12"/>
    <w:rsid w:val="00941B38"/>
    <w:rsid w:val="00942458"/>
    <w:rsid w:val="00954B6B"/>
    <w:rsid w:val="00955D5B"/>
    <w:rsid w:val="009578B1"/>
    <w:rsid w:val="00957F68"/>
    <w:rsid w:val="009671C9"/>
    <w:rsid w:val="009675F0"/>
    <w:rsid w:val="00972AAE"/>
    <w:rsid w:val="0098448E"/>
    <w:rsid w:val="009870C4"/>
    <w:rsid w:val="009872A0"/>
    <w:rsid w:val="00993E5E"/>
    <w:rsid w:val="009A2289"/>
    <w:rsid w:val="009A3A2A"/>
    <w:rsid w:val="009A3CF8"/>
    <w:rsid w:val="009B1CD8"/>
    <w:rsid w:val="009B3D4B"/>
    <w:rsid w:val="009B532D"/>
    <w:rsid w:val="009C1759"/>
    <w:rsid w:val="009C58CF"/>
    <w:rsid w:val="009D2883"/>
    <w:rsid w:val="009D30D0"/>
    <w:rsid w:val="009D663C"/>
    <w:rsid w:val="009D7A03"/>
    <w:rsid w:val="009E102C"/>
    <w:rsid w:val="009E4867"/>
    <w:rsid w:val="009E56B6"/>
    <w:rsid w:val="009F2287"/>
    <w:rsid w:val="009F26F7"/>
    <w:rsid w:val="009F45AA"/>
    <w:rsid w:val="009F5AC7"/>
    <w:rsid w:val="009F5FE2"/>
    <w:rsid w:val="009F7190"/>
    <w:rsid w:val="00A0254A"/>
    <w:rsid w:val="00A04D53"/>
    <w:rsid w:val="00A07D60"/>
    <w:rsid w:val="00A100E6"/>
    <w:rsid w:val="00A11DB2"/>
    <w:rsid w:val="00A2020A"/>
    <w:rsid w:val="00A20CB1"/>
    <w:rsid w:val="00A22167"/>
    <w:rsid w:val="00A22201"/>
    <w:rsid w:val="00A23295"/>
    <w:rsid w:val="00A24C93"/>
    <w:rsid w:val="00A34160"/>
    <w:rsid w:val="00A3718E"/>
    <w:rsid w:val="00A37211"/>
    <w:rsid w:val="00A409AD"/>
    <w:rsid w:val="00A421BE"/>
    <w:rsid w:val="00A42EA1"/>
    <w:rsid w:val="00A43DFF"/>
    <w:rsid w:val="00A44F4E"/>
    <w:rsid w:val="00A45200"/>
    <w:rsid w:val="00A46600"/>
    <w:rsid w:val="00A474F1"/>
    <w:rsid w:val="00A52677"/>
    <w:rsid w:val="00A52FBD"/>
    <w:rsid w:val="00A61D79"/>
    <w:rsid w:val="00A62F34"/>
    <w:rsid w:val="00A64C8D"/>
    <w:rsid w:val="00A6738D"/>
    <w:rsid w:val="00A7052E"/>
    <w:rsid w:val="00A73232"/>
    <w:rsid w:val="00A73265"/>
    <w:rsid w:val="00A74FD1"/>
    <w:rsid w:val="00A77854"/>
    <w:rsid w:val="00A81325"/>
    <w:rsid w:val="00A840EF"/>
    <w:rsid w:val="00A857B5"/>
    <w:rsid w:val="00A85C31"/>
    <w:rsid w:val="00A91A1B"/>
    <w:rsid w:val="00A94F23"/>
    <w:rsid w:val="00A952BA"/>
    <w:rsid w:val="00A965A1"/>
    <w:rsid w:val="00AA5935"/>
    <w:rsid w:val="00AA61D3"/>
    <w:rsid w:val="00AB3D4F"/>
    <w:rsid w:val="00AC3002"/>
    <w:rsid w:val="00AC3CBA"/>
    <w:rsid w:val="00AC3FBB"/>
    <w:rsid w:val="00AD44F9"/>
    <w:rsid w:val="00AD481A"/>
    <w:rsid w:val="00AD4D19"/>
    <w:rsid w:val="00AE40D9"/>
    <w:rsid w:val="00AE7BC2"/>
    <w:rsid w:val="00AF0E82"/>
    <w:rsid w:val="00AF1BAB"/>
    <w:rsid w:val="00AF2B73"/>
    <w:rsid w:val="00AF4BB4"/>
    <w:rsid w:val="00AF7016"/>
    <w:rsid w:val="00B01582"/>
    <w:rsid w:val="00B03B45"/>
    <w:rsid w:val="00B0414F"/>
    <w:rsid w:val="00B07D96"/>
    <w:rsid w:val="00B17620"/>
    <w:rsid w:val="00B17A9B"/>
    <w:rsid w:val="00B17AEB"/>
    <w:rsid w:val="00B21133"/>
    <w:rsid w:val="00B2140A"/>
    <w:rsid w:val="00B30567"/>
    <w:rsid w:val="00B40FE7"/>
    <w:rsid w:val="00B42CF5"/>
    <w:rsid w:val="00B43C37"/>
    <w:rsid w:val="00B57171"/>
    <w:rsid w:val="00B57F58"/>
    <w:rsid w:val="00B62646"/>
    <w:rsid w:val="00B63C7C"/>
    <w:rsid w:val="00B6557E"/>
    <w:rsid w:val="00B66990"/>
    <w:rsid w:val="00B7070B"/>
    <w:rsid w:val="00B71E7A"/>
    <w:rsid w:val="00B7374B"/>
    <w:rsid w:val="00B744AA"/>
    <w:rsid w:val="00B76EE5"/>
    <w:rsid w:val="00B8256D"/>
    <w:rsid w:val="00B86453"/>
    <w:rsid w:val="00B86CEA"/>
    <w:rsid w:val="00B86F18"/>
    <w:rsid w:val="00B903C6"/>
    <w:rsid w:val="00B923BF"/>
    <w:rsid w:val="00B92C64"/>
    <w:rsid w:val="00B95B0E"/>
    <w:rsid w:val="00BA36A0"/>
    <w:rsid w:val="00BB226F"/>
    <w:rsid w:val="00BB314C"/>
    <w:rsid w:val="00BB57B9"/>
    <w:rsid w:val="00BC23F3"/>
    <w:rsid w:val="00BD0E7D"/>
    <w:rsid w:val="00BD1554"/>
    <w:rsid w:val="00BD49F5"/>
    <w:rsid w:val="00BD78F2"/>
    <w:rsid w:val="00BE1437"/>
    <w:rsid w:val="00BE1DE1"/>
    <w:rsid w:val="00C00FEA"/>
    <w:rsid w:val="00C045BE"/>
    <w:rsid w:val="00C04688"/>
    <w:rsid w:val="00C04725"/>
    <w:rsid w:val="00C04815"/>
    <w:rsid w:val="00C0504A"/>
    <w:rsid w:val="00C0592B"/>
    <w:rsid w:val="00C152AE"/>
    <w:rsid w:val="00C2082B"/>
    <w:rsid w:val="00C20D2F"/>
    <w:rsid w:val="00C22169"/>
    <w:rsid w:val="00C23D37"/>
    <w:rsid w:val="00C25D66"/>
    <w:rsid w:val="00C401B1"/>
    <w:rsid w:val="00C40CBB"/>
    <w:rsid w:val="00C4751D"/>
    <w:rsid w:val="00C52940"/>
    <w:rsid w:val="00C55FCD"/>
    <w:rsid w:val="00C72828"/>
    <w:rsid w:val="00C72D46"/>
    <w:rsid w:val="00C73AD1"/>
    <w:rsid w:val="00C7428D"/>
    <w:rsid w:val="00C756C7"/>
    <w:rsid w:val="00C803D8"/>
    <w:rsid w:val="00C8146C"/>
    <w:rsid w:val="00C83D6E"/>
    <w:rsid w:val="00C8501D"/>
    <w:rsid w:val="00C851F7"/>
    <w:rsid w:val="00C915E3"/>
    <w:rsid w:val="00C92937"/>
    <w:rsid w:val="00C97BD8"/>
    <w:rsid w:val="00CA326B"/>
    <w:rsid w:val="00CB0C59"/>
    <w:rsid w:val="00CC3B7D"/>
    <w:rsid w:val="00CC7983"/>
    <w:rsid w:val="00CD0D4A"/>
    <w:rsid w:val="00CD16FD"/>
    <w:rsid w:val="00CD5B34"/>
    <w:rsid w:val="00CE29EE"/>
    <w:rsid w:val="00CE374A"/>
    <w:rsid w:val="00CE3C97"/>
    <w:rsid w:val="00CF0670"/>
    <w:rsid w:val="00CF107E"/>
    <w:rsid w:val="00CF1E46"/>
    <w:rsid w:val="00CF7B86"/>
    <w:rsid w:val="00D031F8"/>
    <w:rsid w:val="00D06453"/>
    <w:rsid w:val="00D0758B"/>
    <w:rsid w:val="00D1168B"/>
    <w:rsid w:val="00D13D8A"/>
    <w:rsid w:val="00D15025"/>
    <w:rsid w:val="00D16FD1"/>
    <w:rsid w:val="00D20F00"/>
    <w:rsid w:val="00D2275A"/>
    <w:rsid w:val="00D22C81"/>
    <w:rsid w:val="00D26D45"/>
    <w:rsid w:val="00D27084"/>
    <w:rsid w:val="00D36944"/>
    <w:rsid w:val="00D440D9"/>
    <w:rsid w:val="00D44EEE"/>
    <w:rsid w:val="00D47774"/>
    <w:rsid w:val="00D5067B"/>
    <w:rsid w:val="00D537F8"/>
    <w:rsid w:val="00D60472"/>
    <w:rsid w:val="00D613BA"/>
    <w:rsid w:val="00D631A9"/>
    <w:rsid w:val="00D65155"/>
    <w:rsid w:val="00D67A5B"/>
    <w:rsid w:val="00D67DA0"/>
    <w:rsid w:val="00D73955"/>
    <w:rsid w:val="00D771B7"/>
    <w:rsid w:val="00D77398"/>
    <w:rsid w:val="00D77CBA"/>
    <w:rsid w:val="00D81062"/>
    <w:rsid w:val="00D84133"/>
    <w:rsid w:val="00D844EC"/>
    <w:rsid w:val="00D85544"/>
    <w:rsid w:val="00D860DE"/>
    <w:rsid w:val="00D8663C"/>
    <w:rsid w:val="00D86BBD"/>
    <w:rsid w:val="00D90F4C"/>
    <w:rsid w:val="00D92A21"/>
    <w:rsid w:val="00D93123"/>
    <w:rsid w:val="00D9696A"/>
    <w:rsid w:val="00DA0BAF"/>
    <w:rsid w:val="00DA1E8C"/>
    <w:rsid w:val="00DA56F7"/>
    <w:rsid w:val="00DB37FB"/>
    <w:rsid w:val="00DC0CE5"/>
    <w:rsid w:val="00DC10E6"/>
    <w:rsid w:val="00DD157E"/>
    <w:rsid w:val="00DD4BF0"/>
    <w:rsid w:val="00DD5F2B"/>
    <w:rsid w:val="00DD7536"/>
    <w:rsid w:val="00DE0298"/>
    <w:rsid w:val="00DF7BE4"/>
    <w:rsid w:val="00E0251A"/>
    <w:rsid w:val="00E23CB5"/>
    <w:rsid w:val="00E25015"/>
    <w:rsid w:val="00E25D6A"/>
    <w:rsid w:val="00E31AB9"/>
    <w:rsid w:val="00E31BAE"/>
    <w:rsid w:val="00E3304E"/>
    <w:rsid w:val="00E33C0C"/>
    <w:rsid w:val="00E36CC8"/>
    <w:rsid w:val="00E401CB"/>
    <w:rsid w:val="00E4359A"/>
    <w:rsid w:val="00E50B3E"/>
    <w:rsid w:val="00E52262"/>
    <w:rsid w:val="00E533E8"/>
    <w:rsid w:val="00E54289"/>
    <w:rsid w:val="00E560C4"/>
    <w:rsid w:val="00E6157A"/>
    <w:rsid w:val="00E622FA"/>
    <w:rsid w:val="00E65312"/>
    <w:rsid w:val="00E737F2"/>
    <w:rsid w:val="00E74BC9"/>
    <w:rsid w:val="00E767EB"/>
    <w:rsid w:val="00E76A97"/>
    <w:rsid w:val="00E77B7D"/>
    <w:rsid w:val="00E81221"/>
    <w:rsid w:val="00E8362A"/>
    <w:rsid w:val="00E83D39"/>
    <w:rsid w:val="00E963C9"/>
    <w:rsid w:val="00E964D1"/>
    <w:rsid w:val="00EA1DAD"/>
    <w:rsid w:val="00EA28DA"/>
    <w:rsid w:val="00EB176B"/>
    <w:rsid w:val="00EB26E1"/>
    <w:rsid w:val="00EB4F53"/>
    <w:rsid w:val="00EB60A4"/>
    <w:rsid w:val="00EC26B2"/>
    <w:rsid w:val="00EC3F7F"/>
    <w:rsid w:val="00EC580D"/>
    <w:rsid w:val="00EC5E57"/>
    <w:rsid w:val="00ED085A"/>
    <w:rsid w:val="00EE490F"/>
    <w:rsid w:val="00EE75EF"/>
    <w:rsid w:val="00EF2C83"/>
    <w:rsid w:val="00EF39A8"/>
    <w:rsid w:val="00F15F12"/>
    <w:rsid w:val="00F17354"/>
    <w:rsid w:val="00F17DBD"/>
    <w:rsid w:val="00F23BC8"/>
    <w:rsid w:val="00F2437C"/>
    <w:rsid w:val="00F35466"/>
    <w:rsid w:val="00F43500"/>
    <w:rsid w:val="00F443DF"/>
    <w:rsid w:val="00F50710"/>
    <w:rsid w:val="00F54F40"/>
    <w:rsid w:val="00F64C46"/>
    <w:rsid w:val="00F71D11"/>
    <w:rsid w:val="00F91D8F"/>
    <w:rsid w:val="00F94A8A"/>
    <w:rsid w:val="00FA4A20"/>
    <w:rsid w:val="00FB27F1"/>
    <w:rsid w:val="00FC1A9F"/>
    <w:rsid w:val="00FC72D2"/>
    <w:rsid w:val="00FD29D8"/>
    <w:rsid w:val="00FD3714"/>
    <w:rsid w:val="00FD5158"/>
    <w:rsid w:val="00FD6976"/>
    <w:rsid w:val="00FD7BEA"/>
    <w:rsid w:val="00FE46E8"/>
    <w:rsid w:val="00FE7C9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CA9E33"/>
  <w15:chartTrackingRefBased/>
  <w15:docId w15:val="{D856460A-D961-4997-BBF8-B9F37A24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pPr>
      <w:ind w:left="426" w:hanging="426"/>
    </w:pPr>
  </w:style>
  <w:style w:type="paragraph" w:styleId="Textkrper-Einzug2">
    <w:name w:val="Body Text Indent 2"/>
    <w:basedOn w:val="Standard"/>
    <w:rsid w:val="00766B96"/>
    <w:pPr>
      <w:spacing w:after="120" w:line="480" w:lineRule="auto"/>
      <w:ind w:left="283"/>
    </w:pPr>
  </w:style>
  <w:style w:type="paragraph" w:styleId="Sprechblasentext">
    <w:name w:val="Balloon Text"/>
    <w:basedOn w:val="Standard"/>
    <w:semiHidden/>
    <w:rsid w:val="00434CA6"/>
    <w:rPr>
      <w:rFonts w:ascii="Tahoma" w:hAnsi="Tahoma" w:cs="Tahoma"/>
      <w:sz w:val="16"/>
      <w:szCs w:val="16"/>
    </w:rPr>
  </w:style>
  <w:style w:type="character" w:customStyle="1" w:styleId="richtext">
    <w:name w:val="richtext"/>
    <w:basedOn w:val="Absatz-Standardschriftart"/>
    <w:rsid w:val="0098448E"/>
  </w:style>
  <w:style w:type="paragraph" w:styleId="StandardWeb">
    <w:name w:val="Normal (Web)"/>
    <w:basedOn w:val="Standard"/>
    <w:semiHidden/>
    <w:rsid w:val="00643A4E"/>
    <w:pPr>
      <w:spacing w:before="100" w:beforeAutospacing="1" w:after="100" w:afterAutospacing="1" w:line="240" w:lineRule="auto"/>
    </w:pPr>
    <w:rPr>
      <w:rFonts w:ascii="Times New Roman" w:hAnsi="Times New Roman"/>
      <w:szCs w:val="24"/>
    </w:rPr>
  </w:style>
  <w:style w:type="paragraph" w:customStyle="1" w:styleId="Default">
    <w:name w:val="Default"/>
    <w:rsid w:val="002B7DA9"/>
    <w:pPr>
      <w:autoSpaceDE w:val="0"/>
      <w:autoSpaceDN w:val="0"/>
      <w:adjustRightInd w:val="0"/>
    </w:pPr>
    <w:rPr>
      <w:rFonts w:ascii="Arial" w:hAnsi="Arial" w:cs="Arial"/>
      <w:color w:val="000000"/>
      <w:sz w:val="24"/>
      <w:szCs w:val="24"/>
    </w:rPr>
  </w:style>
  <w:style w:type="paragraph" w:customStyle="1" w:styleId="Leitwort">
    <w:name w:val="Leitwort"/>
    <w:basedOn w:val="Default"/>
    <w:next w:val="Default"/>
    <w:uiPriority w:val="99"/>
    <w:rsid w:val="002B7DA9"/>
    <w:rPr>
      <w:color w:val="auto"/>
    </w:rPr>
  </w:style>
  <w:style w:type="paragraph" w:customStyle="1" w:styleId="Antragsteller">
    <w:name w:val="Antragsteller"/>
    <w:basedOn w:val="Default"/>
    <w:next w:val="Default"/>
    <w:uiPriority w:val="99"/>
    <w:rsid w:val="002B7DA9"/>
    <w:rPr>
      <w:color w:val="auto"/>
    </w:rPr>
  </w:style>
  <w:style w:type="paragraph" w:customStyle="1" w:styleId="Titel-Betreff">
    <w:name w:val="Titel - Betreff"/>
    <w:basedOn w:val="Standard"/>
    <w:uiPriority w:val="26"/>
    <w:qFormat/>
    <w:rsid w:val="003E2E94"/>
    <w:pPr>
      <w:tabs>
        <w:tab w:val="left" w:pos="794"/>
      </w:tabs>
      <w:spacing w:before="480" w:after="240" w:line="240" w:lineRule="auto"/>
      <w:ind w:left="794" w:hanging="794"/>
      <w:outlineLvl w:val="1"/>
    </w:pPr>
    <w:rPr>
      <w:rFonts w:eastAsia="Arial"/>
      <w:b/>
      <w:sz w:val="20"/>
      <w:lang w:eastAsia="en-US"/>
    </w:rPr>
  </w:style>
  <w:style w:type="paragraph" w:customStyle="1" w:styleId="Frage-Nummerierung1">
    <w:name w:val="Frage - Nummerierung 1)"/>
    <w:basedOn w:val="Standard"/>
    <w:uiPriority w:val="4"/>
    <w:qFormat/>
    <w:rsid w:val="003E2E94"/>
    <w:pPr>
      <w:numPr>
        <w:numId w:val="1"/>
      </w:numPr>
      <w:spacing w:before="240" w:line="240" w:lineRule="auto"/>
      <w:jc w:val="both"/>
      <w:outlineLvl w:val="2"/>
    </w:pPr>
    <w:rPr>
      <w:rFonts w:eastAsia="Arial"/>
      <w:i/>
      <w:sz w:val="20"/>
      <w:lang w:eastAsia="en-US"/>
    </w:rPr>
  </w:style>
  <w:style w:type="numbering" w:customStyle="1" w:styleId="zzzListeFrage">
    <w:name w:val="zzz_Liste_Frage"/>
    <w:basedOn w:val="KeineListe"/>
    <w:uiPriority w:val="99"/>
    <w:rsid w:val="003E2E94"/>
    <w:pPr>
      <w:numPr>
        <w:numId w:val="2"/>
      </w:numPr>
    </w:pPr>
  </w:style>
  <w:style w:type="paragraph" w:customStyle="1" w:styleId="Frage-EinleitungText">
    <w:name w:val="Frage - Einleitung Text"/>
    <w:basedOn w:val="Standard"/>
    <w:uiPriority w:val="3"/>
    <w:qFormat/>
    <w:rsid w:val="00D67DA0"/>
    <w:pPr>
      <w:spacing w:before="80" w:line="240" w:lineRule="auto"/>
      <w:ind w:left="794"/>
      <w:jc w:val="both"/>
    </w:pPr>
    <w:rPr>
      <w:rFonts w:eastAsia="Arial"/>
      <w:i/>
      <w:sz w:val="20"/>
      <w:lang w:eastAsia="en-US"/>
    </w:rPr>
  </w:style>
  <w:style w:type="paragraph" w:styleId="Listenabsatz">
    <w:name w:val="List Paragraph"/>
    <w:basedOn w:val="Standard"/>
    <w:uiPriority w:val="34"/>
    <w:qFormat/>
    <w:rsid w:val="009B532D"/>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FrageEinleitungText">
    <w:name w:val="Frage Einleitung Text"/>
    <w:basedOn w:val="Standard"/>
    <w:uiPriority w:val="3"/>
    <w:qFormat/>
    <w:rsid w:val="00D440D9"/>
    <w:pPr>
      <w:spacing w:before="80" w:line="240" w:lineRule="auto"/>
      <w:ind w:left="794"/>
      <w:jc w:val="both"/>
    </w:pPr>
    <w:rPr>
      <w:rFonts w:asciiTheme="minorHAnsi" w:eastAsiaTheme="minorHAnsi" w:hAnsiTheme="minorHAnsi" w:cstheme="minorBidi"/>
      <w:i/>
      <w:sz w:val="20"/>
      <w:lang w:eastAsia="en-US"/>
    </w:rPr>
  </w:style>
  <w:style w:type="paragraph" w:customStyle="1" w:styleId="FrageNummer1">
    <w:name w:val="Frage Nummer 1)"/>
    <w:basedOn w:val="Standard"/>
    <w:uiPriority w:val="4"/>
    <w:qFormat/>
    <w:rsid w:val="005E2F3F"/>
    <w:pPr>
      <w:spacing w:before="240" w:line="240" w:lineRule="auto"/>
      <w:ind w:left="1588" w:hanging="1588"/>
      <w:jc w:val="both"/>
      <w:outlineLvl w:val="2"/>
    </w:pPr>
    <w:rPr>
      <w:rFonts w:asciiTheme="minorHAnsi" w:eastAsiaTheme="minorHAnsi" w:hAnsiTheme="minorHAnsi" w:cstheme="minorBidi"/>
      <w:i/>
      <w:sz w:val="20"/>
      <w:lang w:eastAsia="en-US"/>
    </w:rPr>
  </w:style>
  <w:style w:type="character" w:styleId="Kommentarzeichen">
    <w:name w:val="annotation reference"/>
    <w:basedOn w:val="Absatz-Standardschriftart"/>
    <w:uiPriority w:val="99"/>
    <w:semiHidden/>
    <w:unhideWhenUsed/>
    <w:rsid w:val="0047117F"/>
    <w:rPr>
      <w:sz w:val="16"/>
      <w:szCs w:val="16"/>
    </w:rPr>
  </w:style>
  <w:style w:type="paragraph" w:styleId="Kommentartext">
    <w:name w:val="annotation text"/>
    <w:basedOn w:val="Standard"/>
    <w:link w:val="KommentartextZchn"/>
    <w:uiPriority w:val="99"/>
    <w:unhideWhenUsed/>
    <w:rsid w:val="0047117F"/>
    <w:pPr>
      <w:spacing w:line="240" w:lineRule="auto"/>
    </w:pPr>
    <w:rPr>
      <w:sz w:val="20"/>
    </w:rPr>
  </w:style>
  <w:style w:type="character" w:customStyle="1" w:styleId="KommentartextZchn">
    <w:name w:val="Kommentartext Zchn"/>
    <w:basedOn w:val="Absatz-Standardschriftart"/>
    <w:link w:val="Kommentartext"/>
    <w:uiPriority w:val="99"/>
    <w:rsid w:val="0047117F"/>
    <w:rPr>
      <w:rFonts w:ascii="Arial" w:hAnsi="Arial"/>
    </w:rPr>
  </w:style>
  <w:style w:type="paragraph" w:styleId="Kommentarthema">
    <w:name w:val="annotation subject"/>
    <w:basedOn w:val="Kommentartext"/>
    <w:next w:val="Kommentartext"/>
    <w:link w:val="KommentarthemaZchn"/>
    <w:uiPriority w:val="99"/>
    <w:semiHidden/>
    <w:unhideWhenUsed/>
    <w:rsid w:val="0047117F"/>
    <w:rPr>
      <w:b/>
      <w:bCs/>
    </w:rPr>
  </w:style>
  <w:style w:type="character" w:customStyle="1" w:styleId="KommentarthemaZchn">
    <w:name w:val="Kommentarthema Zchn"/>
    <w:basedOn w:val="KommentartextZchn"/>
    <w:link w:val="Kommentarthema"/>
    <w:uiPriority w:val="99"/>
    <w:semiHidden/>
    <w:rsid w:val="0047117F"/>
    <w:rPr>
      <w:rFonts w:ascii="Arial" w:hAnsi="Arial"/>
      <w:b/>
      <w:bCs/>
    </w:rPr>
  </w:style>
  <w:style w:type="table" w:styleId="Tabellenraster">
    <w:name w:val="Table Grid"/>
    <w:basedOn w:val="NormaleTabelle"/>
    <w:uiPriority w:val="39"/>
    <w:rsid w:val="00955D5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F3D57"/>
    <w:rPr>
      <w:color w:val="0563C1" w:themeColor="hyperlink"/>
      <w:u w:val="single"/>
    </w:rPr>
  </w:style>
  <w:style w:type="character" w:customStyle="1" w:styleId="UnresolvedMention">
    <w:name w:val="Unresolved Mention"/>
    <w:basedOn w:val="Absatz-Standardschriftart"/>
    <w:uiPriority w:val="99"/>
    <w:semiHidden/>
    <w:unhideWhenUsed/>
    <w:rsid w:val="005F3D57"/>
    <w:rPr>
      <w:color w:val="605E5C"/>
      <w:shd w:val="clear" w:color="auto" w:fill="E1DFDD"/>
    </w:rPr>
  </w:style>
  <w:style w:type="paragraph" w:styleId="Textkrper">
    <w:name w:val="Body Text"/>
    <w:basedOn w:val="Standard"/>
    <w:link w:val="TextkrperZchn"/>
    <w:uiPriority w:val="99"/>
    <w:semiHidden/>
    <w:unhideWhenUsed/>
    <w:rsid w:val="0041599D"/>
    <w:pPr>
      <w:spacing w:after="120"/>
    </w:pPr>
  </w:style>
  <w:style w:type="character" w:customStyle="1" w:styleId="TextkrperZchn">
    <w:name w:val="Textkörper Zchn"/>
    <w:basedOn w:val="Absatz-Standardschriftart"/>
    <w:link w:val="Textkrper"/>
    <w:uiPriority w:val="99"/>
    <w:semiHidden/>
    <w:rsid w:val="0041599D"/>
    <w:rPr>
      <w:rFonts w:ascii="Arial" w:hAnsi="Arial"/>
      <w:sz w:val="24"/>
    </w:rPr>
  </w:style>
  <w:style w:type="paragraph" w:customStyle="1" w:styleId="AntwortText">
    <w:name w:val="Antwort Text"/>
    <w:basedOn w:val="Standard"/>
    <w:uiPriority w:val="10"/>
    <w:qFormat/>
    <w:rsid w:val="00C756C7"/>
    <w:pPr>
      <w:spacing w:before="80" w:line="240" w:lineRule="auto"/>
      <w:jc w:val="both"/>
    </w:pPr>
    <w:rPr>
      <w:rFonts w:asciiTheme="minorHAnsi" w:eastAsiaTheme="minorHAnsi" w:hAnsiTheme="minorHAnsi" w:cstheme="minorBidi"/>
      <w:sz w:val="20"/>
      <w:lang w:eastAsia="en-US"/>
    </w:rPr>
  </w:style>
  <w:style w:type="table" w:customStyle="1" w:styleId="Tabellenraster1">
    <w:name w:val="Tabellenraster1"/>
    <w:basedOn w:val="NormaleTabelle"/>
    <w:next w:val="Tabellenraster"/>
    <w:uiPriority w:val="39"/>
    <w:rsid w:val="009B3D4B"/>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E25D6A"/>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AF4BB4"/>
    <w:rPr>
      <w:rFonts w:ascii="Arial" w:hAnsi="Arial"/>
      <w:sz w:val="24"/>
    </w:rPr>
  </w:style>
  <w:style w:type="table" w:customStyle="1" w:styleId="Tabellenraster3">
    <w:name w:val="Tabellenraster3"/>
    <w:basedOn w:val="NormaleTabelle"/>
    <w:next w:val="Tabellenraster"/>
    <w:uiPriority w:val="39"/>
    <w:rsid w:val="00907B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6A21E0"/>
    <w:rPr>
      <w:rFonts w:ascii="Arial" w:eastAsia="Arial" w:hAnsi="Arial"/>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CA326B"/>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CA326B"/>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885340"/>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rsid w:val="00893194"/>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893194"/>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1048A2"/>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D9696A"/>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D9696A"/>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39"/>
    <w:rsid w:val="00D9696A"/>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D9696A"/>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D9696A"/>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CF107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2879">
      <w:bodyDiv w:val="1"/>
      <w:marLeft w:val="0"/>
      <w:marRight w:val="0"/>
      <w:marTop w:val="0"/>
      <w:marBottom w:val="0"/>
      <w:divBdr>
        <w:top w:val="none" w:sz="0" w:space="0" w:color="auto"/>
        <w:left w:val="none" w:sz="0" w:space="0" w:color="auto"/>
        <w:bottom w:val="none" w:sz="0" w:space="0" w:color="auto"/>
        <w:right w:val="none" w:sz="0" w:space="0" w:color="auto"/>
      </w:divBdr>
    </w:div>
    <w:div w:id="54593633">
      <w:bodyDiv w:val="1"/>
      <w:marLeft w:val="0"/>
      <w:marRight w:val="0"/>
      <w:marTop w:val="0"/>
      <w:marBottom w:val="0"/>
      <w:divBdr>
        <w:top w:val="none" w:sz="0" w:space="0" w:color="auto"/>
        <w:left w:val="none" w:sz="0" w:space="0" w:color="auto"/>
        <w:bottom w:val="none" w:sz="0" w:space="0" w:color="auto"/>
        <w:right w:val="none" w:sz="0" w:space="0" w:color="auto"/>
      </w:divBdr>
    </w:div>
    <w:div w:id="61174360">
      <w:bodyDiv w:val="1"/>
      <w:marLeft w:val="0"/>
      <w:marRight w:val="0"/>
      <w:marTop w:val="0"/>
      <w:marBottom w:val="0"/>
      <w:divBdr>
        <w:top w:val="none" w:sz="0" w:space="0" w:color="auto"/>
        <w:left w:val="none" w:sz="0" w:space="0" w:color="auto"/>
        <w:bottom w:val="none" w:sz="0" w:space="0" w:color="auto"/>
        <w:right w:val="none" w:sz="0" w:space="0" w:color="auto"/>
      </w:divBdr>
    </w:div>
    <w:div w:id="106582492">
      <w:bodyDiv w:val="1"/>
      <w:marLeft w:val="0"/>
      <w:marRight w:val="0"/>
      <w:marTop w:val="0"/>
      <w:marBottom w:val="0"/>
      <w:divBdr>
        <w:top w:val="none" w:sz="0" w:space="0" w:color="auto"/>
        <w:left w:val="none" w:sz="0" w:space="0" w:color="auto"/>
        <w:bottom w:val="none" w:sz="0" w:space="0" w:color="auto"/>
        <w:right w:val="none" w:sz="0" w:space="0" w:color="auto"/>
      </w:divBdr>
    </w:div>
    <w:div w:id="133452398">
      <w:bodyDiv w:val="1"/>
      <w:marLeft w:val="0"/>
      <w:marRight w:val="0"/>
      <w:marTop w:val="0"/>
      <w:marBottom w:val="0"/>
      <w:divBdr>
        <w:top w:val="none" w:sz="0" w:space="0" w:color="auto"/>
        <w:left w:val="none" w:sz="0" w:space="0" w:color="auto"/>
        <w:bottom w:val="none" w:sz="0" w:space="0" w:color="auto"/>
        <w:right w:val="none" w:sz="0" w:space="0" w:color="auto"/>
      </w:divBdr>
    </w:div>
    <w:div w:id="247734489">
      <w:bodyDiv w:val="1"/>
      <w:marLeft w:val="0"/>
      <w:marRight w:val="0"/>
      <w:marTop w:val="0"/>
      <w:marBottom w:val="0"/>
      <w:divBdr>
        <w:top w:val="none" w:sz="0" w:space="0" w:color="auto"/>
        <w:left w:val="none" w:sz="0" w:space="0" w:color="auto"/>
        <w:bottom w:val="none" w:sz="0" w:space="0" w:color="auto"/>
        <w:right w:val="none" w:sz="0" w:space="0" w:color="auto"/>
      </w:divBdr>
    </w:div>
    <w:div w:id="346829406">
      <w:bodyDiv w:val="1"/>
      <w:marLeft w:val="0"/>
      <w:marRight w:val="0"/>
      <w:marTop w:val="0"/>
      <w:marBottom w:val="0"/>
      <w:divBdr>
        <w:top w:val="none" w:sz="0" w:space="0" w:color="auto"/>
        <w:left w:val="none" w:sz="0" w:space="0" w:color="auto"/>
        <w:bottom w:val="none" w:sz="0" w:space="0" w:color="auto"/>
        <w:right w:val="none" w:sz="0" w:space="0" w:color="auto"/>
      </w:divBdr>
    </w:div>
    <w:div w:id="372001426">
      <w:bodyDiv w:val="1"/>
      <w:marLeft w:val="0"/>
      <w:marRight w:val="0"/>
      <w:marTop w:val="0"/>
      <w:marBottom w:val="0"/>
      <w:divBdr>
        <w:top w:val="none" w:sz="0" w:space="0" w:color="auto"/>
        <w:left w:val="none" w:sz="0" w:space="0" w:color="auto"/>
        <w:bottom w:val="none" w:sz="0" w:space="0" w:color="auto"/>
        <w:right w:val="none" w:sz="0" w:space="0" w:color="auto"/>
      </w:divBdr>
    </w:div>
    <w:div w:id="394163032">
      <w:bodyDiv w:val="1"/>
      <w:marLeft w:val="0"/>
      <w:marRight w:val="0"/>
      <w:marTop w:val="0"/>
      <w:marBottom w:val="0"/>
      <w:divBdr>
        <w:top w:val="none" w:sz="0" w:space="0" w:color="auto"/>
        <w:left w:val="none" w:sz="0" w:space="0" w:color="auto"/>
        <w:bottom w:val="none" w:sz="0" w:space="0" w:color="auto"/>
        <w:right w:val="none" w:sz="0" w:space="0" w:color="auto"/>
      </w:divBdr>
    </w:div>
    <w:div w:id="400250289">
      <w:bodyDiv w:val="1"/>
      <w:marLeft w:val="0"/>
      <w:marRight w:val="0"/>
      <w:marTop w:val="0"/>
      <w:marBottom w:val="0"/>
      <w:divBdr>
        <w:top w:val="none" w:sz="0" w:space="0" w:color="auto"/>
        <w:left w:val="none" w:sz="0" w:space="0" w:color="auto"/>
        <w:bottom w:val="none" w:sz="0" w:space="0" w:color="auto"/>
        <w:right w:val="none" w:sz="0" w:space="0" w:color="auto"/>
      </w:divBdr>
    </w:div>
    <w:div w:id="475924334">
      <w:bodyDiv w:val="1"/>
      <w:marLeft w:val="0"/>
      <w:marRight w:val="0"/>
      <w:marTop w:val="0"/>
      <w:marBottom w:val="0"/>
      <w:divBdr>
        <w:top w:val="none" w:sz="0" w:space="0" w:color="auto"/>
        <w:left w:val="none" w:sz="0" w:space="0" w:color="auto"/>
        <w:bottom w:val="none" w:sz="0" w:space="0" w:color="auto"/>
        <w:right w:val="none" w:sz="0" w:space="0" w:color="auto"/>
      </w:divBdr>
    </w:div>
    <w:div w:id="564685891">
      <w:bodyDiv w:val="1"/>
      <w:marLeft w:val="0"/>
      <w:marRight w:val="0"/>
      <w:marTop w:val="0"/>
      <w:marBottom w:val="0"/>
      <w:divBdr>
        <w:top w:val="none" w:sz="0" w:space="0" w:color="auto"/>
        <w:left w:val="none" w:sz="0" w:space="0" w:color="auto"/>
        <w:bottom w:val="none" w:sz="0" w:space="0" w:color="auto"/>
        <w:right w:val="none" w:sz="0" w:space="0" w:color="auto"/>
      </w:divBdr>
    </w:div>
    <w:div w:id="654798411">
      <w:bodyDiv w:val="1"/>
      <w:marLeft w:val="0"/>
      <w:marRight w:val="0"/>
      <w:marTop w:val="0"/>
      <w:marBottom w:val="0"/>
      <w:divBdr>
        <w:top w:val="none" w:sz="0" w:space="0" w:color="auto"/>
        <w:left w:val="none" w:sz="0" w:space="0" w:color="auto"/>
        <w:bottom w:val="none" w:sz="0" w:space="0" w:color="auto"/>
        <w:right w:val="none" w:sz="0" w:space="0" w:color="auto"/>
      </w:divBdr>
    </w:div>
    <w:div w:id="746222209">
      <w:bodyDiv w:val="1"/>
      <w:marLeft w:val="0"/>
      <w:marRight w:val="0"/>
      <w:marTop w:val="0"/>
      <w:marBottom w:val="0"/>
      <w:divBdr>
        <w:top w:val="none" w:sz="0" w:space="0" w:color="auto"/>
        <w:left w:val="none" w:sz="0" w:space="0" w:color="auto"/>
        <w:bottom w:val="none" w:sz="0" w:space="0" w:color="auto"/>
        <w:right w:val="none" w:sz="0" w:space="0" w:color="auto"/>
      </w:divBdr>
    </w:div>
    <w:div w:id="763187043">
      <w:bodyDiv w:val="1"/>
      <w:marLeft w:val="0"/>
      <w:marRight w:val="0"/>
      <w:marTop w:val="0"/>
      <w:marBottom w:val="0"/>
      <w:divBdr>
        <w:top w:val="none" w:sz="0" w:space="0" w:color="auto"/>
        <w:left w:val="none" w:sz="0" w:space="0" w:color="auto"/>
        <w:bottom w:val="none" w:sz="0" w:space="0" w:color="auto"/>
        <w:right w:val="none" w:sz="0" w:space="0" w:color="auto"/>
      </w:divBdr>
    </w:div>
    <w:div w:id="874587583">
      <w:bodyDiv w:val="1"/>
      <w:marLeft w:val="0"/>
      <w:marRight w:val="0"/>
      <w:marTop w:val="0"/>
      <w:marBottom w:val="0"/>
      <w:divBdr>
        <w:top w:val="none" w:sz="0" w:space="0" w:color="auto"/>
        <w:left w:val="none" w:sz="0" w:space="0" w:color="auto"/>
        <w:bottom w:val="none" w:sz="0" w:space="0" w:color="auto"/>
        <w:right w:val="none" w:sz="0" w:space="0" w:color="auto"/>
      </w:divBdr>
    </w:div>
    <w:div w:id="1096246517">
      <w:bodyDiv w:val="1"/>
      <w:marLeft w:val="0"/>
      <w:marRight w:val="0"/>
      <w:marTop w:val="0"/>
      <w:marBottom w:val="0"/>
      <w:divBdr>
        <w:top w:val="none" w:sz="0" w:space="0" w:color="auto"/>
        <w:left w:val="none" w:sz="0" w:space="0" w:color="auto"/>
        <w:bottom w:val="none" w:sz="0" w:space="0" w:color="auto"/>
        <w:right w:val="none" w:sz="0" w:space="0" w:color="auto"/>
      </w:divBdr>
    </w:div>
    <w:div w:id="1203591973">
      <w:bodyDiv w:val="1"/>
      <w:marLeft w:val="0"/>
      <w:marRight w:val="0"/>
      <w:marTop w:val="0"/>
      <w:marBottom w:val="0"/>
      <w:divBdr>
        <w:top w:val="none" w:sz="0" w:space="0" w:color="auto"/>
        <w:left w:val="none" w:sz="0" w:space="0" w:color="auto"/>
        <w:bottom w:val="none" w:sz="0" w:space="0" w:color="auto"/>
        <w:right w:val="none" w:sz="0" w:space="0" w:color="auto"/>
      </w:divBdr>
    </w:div>
    <w:div w:id="1240943697">
      <w:bodyDiv w:val="1"/>
      <w:marLeft w:val="0"/>
      <w:marRight w:val="0"/>
      <w:marTop w:val="0"/>
      <w:marBottom w:val="0"/>
      <w:divBdr>
        <w:top w:val="none" w:sz="0" w:space="0" w:color="auto"/>
        <w:left w:val="none" w:sz="0" w:space="0" w:color="auto"/>
        <w:bottom w:val="none" w:sz="0" w:space="0" w:color="auto"/>
        <w:right w:val="none" w:sz="0" w:space="0" w:color="auto"/>
      </w:divBdr>
    </w:div>
    <w:div w:id="1351564072">
      <w:bodyDiv w:val="1"/>
      <w:marLeft w:val="0"/>
      <w:marRight w:val="0"/>
      <w:marTop w:val="0"/>
      <w:marBottom w:val="0"/>
      <w:divBdr>
        <w:top w:val="none" w:sz="0" w:space="0" w:color="auto"/>
        <w:left w:val="none" w:sz="0" w:space="0" w:color="auto"/>
        <w:bottom w:val="none" w:sz="0" w:space="0" w:color="auto"/>
        <w:right w:val="none" w:sz="0" w:space="0" w:color="auto"/>
      </w:divBdr>
    </w:div>
    <w:div w:id="1418476156">
      <w:bodyDiv w:val="1"/>
      <w:marLeft w:val="0"/>
      <w:marRight w:val="0"/>
      <w:marTop w:val="0"/>
      <w:marBottom w:val="0"/>
      <w:divBdr>
        <w:top w:val="none" w:sz="0" w:space="0" w:color="auto"/>
        <w:left w:val="none" w:sz="0" w:space="0" w:color="auto"/>
        <w:bottom w:val="none" w:sz="0" w:space="0" w:color="auto"/>
        <w:right w:val="none" w:sz="0" w:space="0" w:color="auto"/>
      </w:divBdr>
    </w:div>
    <w:div w:id="1431241788">
      <w:bodyDiv w:val="1"/>
      <w:marLeft w:val="0"/>
      <w:marRight w:val="0"/>
      <w:marTop w:val="0"/>
      <w:marBottom w:val="0"/>
      <w:divBdr>
        <w:top w:val="none" w:sz="0" w:space="0" w:color="auto"/>
        <w:left w:val="none" w:sz="0" w:space="0" w:color="auto"/>
        <w:bottom w:val="none" w:sz="0" w:space="0" w:color="auto"/>
        <w:right w:val="none" w:sz="0" w:space="0" w:color="auto"/>
      </w:divBdr>
    </w:div>
    <w:div w:id="1465848555">
      <w:bodyDiv w:val="1"/>
      <w:marLeft w:val="0"/>
      <w:marRight w:val="0"/>
      <w:marTop w:val="0"/>
      <w:marBottom w:val="0"/>
      <w:divBdr>
        <w:top w:val="none" w:sz="0" w:space="0" w:color="auto"/>
        <w:left w:val="none" w:sz="0" w:space="0" w:color="auto"/>
        <w:bottom w:val="none" w:sz="0" w:space="0" w:color="auto"/>
        <w:right w:val="none" w:sz="0" w:space="0" w:color="auto"/>
      </w:divBdr>
    </w:div>
    <w:div w:id="1471750544">
      <w:bodyDiv w:val="1"/>
      <w:marLeft w:val="0"/>
      <w:marRight w:val="0"/>
      <w:marTop w:val="0"/>
      <w:marBottom w:val="0"/>
      <w:divBdr>
        <w:top w:val="none" w:sz="0" w:space="0" w:color="auto"/>
        <w:left w:val="none" w:sz="0" w:space="0" w:color="auto"/>
        <w:bottom w:val="none" w:sz="0" w:space="0" w:color="auto"/>
        <w:right w:val="none" w:sz="0" w:space="0" w:color="auto"/>
      </w:divBdr>
    </w:div>
    <w:div w:id="1546137727">
      <w:bodyDiv w:val="1"/>
      <w:marLeft w:val="0"/>
      <w:marRight w:val="0"/>
      <w:marTop w:val="0"/>
      <w:marBottom w:val="0"/>
      <w:divBdr>
        <w:top w:val="none" w:sz="0" w:space="0" w:color="auto"/>
        <w:left w:val="none" w:sz="0" w:space="0" w:color="auto"/>
        <w:bottom w:val="none" w:sz="0" w:space="0" w:color="auto"/>
        <w:right w:val="none" w:sz="0" w:space="0" w:color="auto"/>
      </w:divBdr>
    </w:div>
    <w:div w:id="1640064943">
      <w:bodyDiv w:val="1"/>
      <w:marLeft w:val="0"/>
      <w:marRight w:val="0"/>
      <w:marTop w:val="0"/>
      <w:marBottom w:val="0"/>
      <w:divBdr>
        <w:top w:val="none" w:sz="0" w:space="0" w:color="auto"/>
        <w:left w:val="none" w:sz="0" w:space="0" w:color="auto"/>
        <w:bottom w:val="none" w:sz="0" w:space="0" w:color="auto"/>
        <w:right w:val="none" w:sz="0" w:space="0" w:color="auto"/>
      </w:divBdr>
    </w:div>
    <w:div w:id="1815828286">
      <w:bodyDiv w:val="1"/>
      <w:marLeft w:val="0"/>
      <w:marRight w:val="0"/>
      <w:marTop w:val="0"/>
      <w:marBottom w:val="0"/>
      <w:divBdr>
        <w:top w:val="none" w:sz="0" w:space="0" w:color="auto"/>
        <w:left w:val="none" w:sz="0" w:space="0" w:color="auto"/>
        <w:bottom w:val="none" w:sz="0" w:space="0" w:color="auto"/>
        <w:right w:val="none" w:sz="0" w:space="0" w:color="auto"/>
      </w:divBdr>
    </w:div>
    <w:div w:id="1833182051">
      <w:bodyDiv w:val="1"/>
      <w:marLeft w:val="0"/>
      <w:marRight w:val="0"/>
      <w:marTop w:val="0"/>
      <w:marBottom w:val="0"/>
      <w:divBdr>
        <w:top w:val="none" w:sz="0" w:space="0" w:color="auto"/>
        <w:left w:val="none" w:sz="0" w:space="0" w:color="auto"/>
        <w:bottom w:val="none" w:sz="0" w:space="0" w:color="auto"/>
        <w:right w:val="none" w:sz="0" w:space="0" w:color="auto"/>
      </w:divBdr>
    </w:div>
    <w:div w:id="1941990297">
      <w:bodyDiv w:val="1"/>
      <w:marLeft w:val="0"/>
      <w:marRight w:val="0"/>
      <w:marTop w:val="0"/>
      <w:marBottom w:val="0"/>
      <w:divBdr>
        <w:top w:val="none" w:sz="0" w:space="0" w:color="auto"/>
        <w:left w:val="none" w:sz="0" w:space="0" w:color="auto"/>
        <w:bottom w:val="none" w:sz="0" w:space="0" w:color="auto"/>
        <w:right w:val="none" w:sz="0" w:space="0" w:color="auto"/>
      </w:divBdr>
    </w:div>
    <w:div w:id="201984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SKA-M.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0015C-70C7-4D8F-A36E-AA5205AAD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SKA-M.dot</Template>
  <TotalTime>0</TotalTime>
  <Pages>5</Pages>
  <Words>1326</Words>
  <Characters>8688</Characters>
  <Application>Microsoft Office Word</Application>
  <DocSecurity>4</DocSecurity>
  <Lines>72</Lines>
  <Paragraphs>19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Schriftliche Kleine Anfrage</vt:lpstr>
      <vt:lpstr>Schriftliche Kleine Anfrage</vt:lpstr>
    </vt:vector>
  </TitlesOfParts>
  <Company>CDU Bürgerschaftsfraktion</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Schriftliche Kleine Anfrage</dc:title>
  <dc:subject/>
  <dc:creator>Geschäftsstelle</dc:creator>
  <cp:keywords/>
  <cp:lastModifiedBy>Craß, Miriam</cp:lastModifiedBy>
  <cp:revision>2</cp:revision>
  <cp:lastPrinted>2024-01-24T09:45:00Z</cp:lastPrinted>
  <dcterms:created xsi:type="dcterms:W3CDTF">2024-01-24T11:00:00Z</dcterms:created>
  <dcterms:modified xsi:type="dcterms:W3CDTF">2024-01-24T11:00:00Z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04447a-85ec-4482-b709-219fb68c1534_Enabled">
    <vt:lpwstr>true</vt:lpwstr>
  </property>
  <property fmtid="{D5CDD505-2E9C-101B-9397-08002B2CF9AE}" pid="3" name="MSIP_Label_6104447a-85ec-4482-b709-219fb68c1534_SetDate">
    <vt:lpwstr>2023-11-10T08:37:54Z</vt:lpwstr>
  </property>
  <property fmtid="{D5CDD505-2E9C-101B-9397-08002B2CF9AE}" pid="4" name="MSIP_Label_6104447a-85ec-4482-b709-219fb68c1534_Method">
    <vt:lpwstr>Standard</vt:lpwstr>
  </property>
  <property fmtid="{D5CDD505-2E9C-101B-9397-08002B2CF9AE}" pid="5" name="MSIP_Label_6104447a-85ec-4482-b709-219fb68c1534_Name">
    <vt:lpwstr>C2_internal</vt:lpwstr>
  </property>
  <property fmtid="{D5CDD505-2E9C-101B-9397-08002B2CF9AE}" pid="6" name="MSIP_Label_6104447a-85ec-4482-b709-219fb68c1534_SiteId">
    <vt:lpwstr>9100ff08-af6b-433f-b666-b6f24073ff84</vt:lpwstr>
  </property>
  <property fmtid="{D5CDD505-2E9C-101B-9397-08002B2CF9AE}" pid="7" name="MSIP_Label_6104447a-85ec-4482-b709-219fb68c1534_ActionId">
    <vt:lpwstr>c68ea60f-60ed-454b-99aa-58589f7e59b5</vt:lpwstr>
  </property>
  <property fmtid="{D5CDD505-2E9C-101B-9397-08002B2CF9AE}" pid="8" name="MSIP_Label_6104447a-85ec-4482-b709-219fb68c1534_ContentBits">
    <vt:lpwstr>0</vt:lpwstr>
  </property>
</Properties>
</file>