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012E" w14:textId="77777777" w:rsidR="006A70AF" w:rsidRDefault="006A70AF">
      <w:pPr>
        <w:pStyle w:val="Standard1"/>
        <w:spacing w:after="120"/>
        <w:rPr>
          <w:rFonts w:cs="Arial"/>
          <w:szCs w:val="24"/>
        </w:rPr>
      </w:pPr>
    </w:p>
    <w:p w14:paraId="44E00D50" w14:textId="77777777" w:rsidR="006A70AF" w:rsidRDefault="00D74A92">
      <w:pPr>
        <w:pStyle w:val="Standard1"/>
        <w:spacing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N T R A G</w:t>
      </w:r>
    </w:p>
    <w:p w14:paraId="626B9A77" w14:textId="77777777" w:rsidR="006A70AF" w:rsidRDefault="006A70AF">
      <w:pPr>
        <w:pStyle w:val="Standard1"/>
        <w:spacing w:after="120"/>
        <w:rPr>
          <w:rFonts w:cs="Arial"/>
          <w:szCs w:val="24"/>
        </w:rPr>
      </w:pPr>
    </w:p>
    <w:p w14:paraId="5511B05B" w14:textId="77777777" w:rsidR="002A37E1" w:rsidRDefault="00D74A92">
      <w:pPr>
        <w:pStyle w:val="Standard1"/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der Abg. </w:t>
      </w:r>
      <w:r w:rsidR="002A37E1">
        <w:rPr>
          <w:rFonts w:cs="Arial"/>
          <w:b/>
          <w:szCs w:val="24"/>
        </w:rPr>
        <w:t>Deniz Celik</w:t>
      </w:r>
      <w:r>
        <w:rPr>
          <w:rFonts w:cs="Arial"/>
          <w:b/>
          <w:szCs w:val="24"/>
        </w:rPr>
        <w:t xml:space="preserve">, Sabine Boeddinghaus, Dr. Carola Ensslen, Olga Fritzsche, Norbert Hackbusch, Stephan Jersch, Metin Kaya, Cansu Özdemir, </w:t>
      </w:r>
      <w:r w:rsidR="002A37E1">
        <w:rPr>
          <w:rFonts w:cs="Arial"/>
          <w:b/>
          <w:szCs w:val="24"/>
        </w:rPr>
        <w:t xml:space="preserve">Dr. Stephanie Rose, </w:t>
      </w:r>
      <w:r>
        <w:rPr>
          <w:rFonts w:cs="Arial"/>
          <w:b/>
          <w:szCs w:val="24"/>
        </w:rPr>
        <w:t>David Stoop, Heike Sudmann, Insa Tietjen und Mehmet Yildiz (Fraktion DIE LINKE)</w:t>
      </w:r>
    </w:p>
    <w:p w14:paraId="22A766D5" w14:textId="09824031" w:rsidR="006A70AF" w:rsidRDefault="0055648C">
      <w:pPr>
        <w:pStyle w:val="Standard1"/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zu Drs. </w:t>
      </w:r>
      <w:r w:rsidR="00974902">
        <w:rPr>
          <w:rFonts w:cs="Arial"/>
          <w:b/>
          <w:szCs w:val="24"/>
        </w:rPr>
        <w:t>22/</w:t>
      </w:r>
      <w:r w:rsidR="00974902" w:rsidRPr="00974902">
        <w:rPr>
          <w:rFonts w:cs="Arial"/>
          <w:b/>
          <w:szCs w:val="24"/>
        </w:rPr>
        <w:t>6491</w:t>
      </w:r>
      <w:r w:rsidR="00974902" w:rsidRPr="00974902">
        <w:t xml:space="preserve"> </w:t>
      </w:r>
      <w:r w:rsidR="00974902" w:rsidRPr="00974902">
        <w:rPr>
          <w:rFonts w:cs="Arial"/>
          <w:b/>
          <w:szCs w:val="24"/>
        </w:rPr>
        <w:t>Vierundfünfzigste Verordnung zur Änderung der Hamburgischen SARS-CoV-2-Eindämmungsverordnung</w:t>
      </w:r>
      <w:r w:rsidR="00D74A92">
        <w:rPr>
          <w:rFonts w:cs="Arial"/>
          <w:b/>
          <w:i/>
          <w:sz w:val="20"/>
        </w:rPr>
        <w:br/>
      </w:r>
    </w:p>
    <w:p w14:paraId="0B20AFB5" w14:textId="77777777" w:rsidR="006A70AF" w:rsidRDefault="00D74A92">
      <w:pPr>
        <w:pStyle w:val="Standard1"/>
        <w:spacing w:after="120"/>
        <w:ind w:left="851" w:hanging="851"/>
        <w:rPr>
          <w:rFonts w:cs="Arial"/>
        </w:rPr>
      </w:pPr>
      <w:r>
        <w:rPr>
          <w:rFonts w:cs="Arial"/>
          <w:b/>
          <w:szCs w:val="24"/>
        </w:rPr>
        <w:t>Betr.:</w:t>
      </w:r>
      <w:r>
        <w:rPr>
          <w:rFonts w:cs="Arial"/>
          <w:b/>
          <w:szCs w:val="24"/>
        </w:rPr>
        <w:tab/>
      </w:r>
      <w:r w:rsidR="00A06106">
        <w:rPr>
          <w:rFonts w:cs="Arial"/>
          <w:b/>
          <w:szCs w:val="24"/>
        </w:rPr>
        <w:t>Die vierte Welle brechen: niedrigschwellige Impfangebote in allen Stadtteilen anbieten</w:t>
      </w:r>
    </w:p>
    <w:p w14:paraId="00015A52" w14:textId="1712C6A1" w:rsidR="00090232" w:rsidRDefault="00A37B40" w:rsidP="004C6106">
      <w:pPr>
        <w:pStyle w:val="Standard1"/>
        <w:jc w:val="both"/>
        <w:rPr>
          <w:rFonts w:eastAsia="Calibri" w:cs="Arial"/>
          <w:i/>
          <w:sz w:val="20"/>
          <w:szCs w:val="22"/>
          <w:lang w:eastAsia="en-US"/>
        </w:rPr>
      </w:pPr>
      <w:r>
        <w:rPr>
          <w:rFonts w:eastAsia="Calibri" w:cs="Arial"/>
          <w:i/>
          <w:sz w:val="20"/>
          <w:szCs w:val="22"/>
          <w:lang w:eastAsia="en-US"/>
        </w:rPr>
        <w:t>Wissenschaft und Politik sind sich einig: Das wirksamste Instrument, um die vierte Welle zu brechen, ist das</w:t>
      </w:r>
      <w:r w:rsidR="0031327F">
        <w:rPr>
          <w:rFonts w:eastAsia="Calibri" w:cs="Arial"/>
          <w:i/>
          <w:sz w:val="20"/>
          <w:szCs w:val="22"/>
          <w:lang w:eastAsia="en-US"/>
        </w:rPr>
        <w:t xml:space="preserve"> Schließen von </w:t>
      </w:r>
      <w:r w:rsidR="007841D8">
        <w:rPr>
          <w:rFonts w:eastAsia="Calibri" w:cs="Arial"/>
          <w:i/>
          <w:sz w:val="20"/>
          <w:szCs w:val="22"/>
          <w:lang w:eastAsia="en-US"/>
        </w:rPr>
        <w:t>Impflücken und die</w:t>
      </w:r>
      <w:r w:rsidR="0031327F">
        <w:rPr>
          <w:rFonts w:eastAsia="Calibri" w:cs="Arial"/>
          <w:i/>
          <w:sz w:val="20"/>
          <w:szCs w:val="22"/>
          <w:lang w:eastAsia="en-US"/>
        </w:rPr>
        <w:t xml:space="preserve"> sogenannte Booster-Impfung</w:t>
      </w:r>
      <w:r w:rsidR="007841D8">
        <w:rPr>
          <w:rFonts w:eastAsia="Calibri" w:cs="Arial"/>
          <w:i/>
          <w:sz w:val="20"/>
          <w:szCs w:val="22"/>
          <w:lang w:eastAsia="en-US"/>
        </w:rPr>
        <w:t>, die ebenfalls die Übertragungsrate deutlich senken und damit die vierte Welle durchbrechen kann. Gleichzeitig müssen impfwillige Hamburger:innen die Erfahrung machen, dass</w:t>
      </w:r>
      <w:r w:rsidR="0055648C">
        <w:rPr>
          <w:rFonts w:eastAsia="Calibri" w:cs="Arial"/>
          <w:i/>
          <w:sz w:val="20"/>
          <w:szCs w:val="22"/>
          <w:lang w:eastAsia="en-US"/>
        </w:rPr>
        <w:t xml:space="preserve"> die Hausarztpraxen derzeit überlaufen </w:t>
      </w:r>
      <w:r w:rsidR="00A24F2E">
        <w:rPr>
          <w:rFonts w:eastAsia="Calibri" w:cs="Arial"/>
          <w:i/>
          <w:sz w:val="20"/>
          <w:szCs w:val="22"/>
          <w:lang w:eastAsia="en-US"/>
        </w:rPr>
        <w:t xml:space="preserve">sind </w:t>
      </w:r>
      <w:r w:rsidR="0055648C">
        <w:rPr>
          <w:rFonts w:eastAsia="Calibri" w:cs="Arial"/>
          <w:i/>
          <w:sz w:val="20"/>
          <w:szCs w:val="22"/>
          <w:lang w:eastAsia="en-US"/>
        </w:rPr>
        <w:t>und</w:t>
      </w:r>
      <w:r w:rsidR="007841D8">
        <w:rPr>
          <w:rFonts w:eastAsia="Calibri" w:cs="Arial"/>
          <w:i/>
          <w:sz w:val="20"/>
          <w:szCs w:val="22"/>
          <w:lang w:eastAsia="en-US"/>
        </w:rPr>
        <w:t xml:space="preserve"> das Buchungsportal der Stadt keine freien Impftermine </w:t>
      </w:r>
      <w:r w:rsidR="0055648C">
        <w:rPr>
          <w:rFonts w:eastAsia="Calibri" w:cs="Arial"/>
          <w:i/>
          <w:sz w:val="20"/>
          <w:szCs w:val="22"/>
          <w:lang w:eastAsia="en-US"/>
        </w:rPr>
        <w:t>anbieten kann. Wer das Angebot der mobilen Impfteams in Anspruch nehmen möchte, muss sich ebenfalls auf lange Wa</w:t>
      </w:r>
      <w:r w:rsidR="00A80C1B">
        <w:rPr>
          <w:rFonts w:eastAsia="Calibri" w:cs="Arial"/>
          <w:i/>
          <w:sz w:val="20"/>
          <w:szCs w:val="22"/>
          <w:lang w:eastAsia="en-US"/>
        </w:rPr>
        <w:t xml:space="preserve">rtezeiten einstellen und mitunter weite Wege in Kauf nehmen. Zwar hat die Stadt angekündigt </w:t>
      </w:r>
      <w:r w:rsidR="00584C5A">
        <w:rPr>
          <w:rFonts w:eastAsia="Calibri" w:cs="Arial"/>
          <w:i/>
          <w:sz w:val="20"/>
          <w:szCs w:val="22"/>
          <w:lang w:eastAsia="en-US"/>
        </w:rPr>
        <w:t>die</w:t>
      </w:r>
      <w:r w:rsidR="00A80C1B">
        <w:rPr>
          <w:rFonts w:eastAsia="Calibri" w:cs="Arial"/>
          <w:i/>
          <w:sz w:val="20"/>
          <w:szCs w:val="22"/>
          <w:lang w:eastAsia="en-US"/>
        </w:rPr>
        <w:t xml:space="preserve"> dezentrale Impfinfrastruktur weiter auszubauen und in Kürze 21 Impfzentren</w:t>
      </w:r>
      <w:r w:rsidR="00340DEE">
        <w:rPr>
          <w:rFonts w:eastAsia="Calibri" w:cs="Arial"/>
          <w:i/>
          <w:sz w:val="20"/>
          <w:szCs w:val="22"/>
          <w:lang w:eastAsia="en-US"/>
        </w:rPr>
        <w:t xml:space="preserve"> zu</w:t>
      </w:r>
      <w:r w:rsidR="00A80C1B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340DEE">
        <w:rPr>
          <w:rFonts w:eastAsia="Calibri" w:cs="Arial"/>
          <w:i/>
          <w:sz w:val="20"/>
          <w:szCs w:val="22"/>
          <w:lang w:eastAsia="en-US"/>
        </w:rPr>
        <w:t xml:space="preserve">eröffnen, </w:t>
      </w:r>
      <w:r w:rsidR="00584C5A">
        <w:rPr>
          <w:rFonts w:eastAsia="Calibri" w:cs="Arial"/>
          <w:i/>
          <w:sz w:val="20"/>
          <w:szCs w:val="22"/>
          <w:lang w:eastAsia="en-US"/>
        </w:rPr>
        <w:t>trotzdem fehlt es an vielen Orten an niedrigschwelligen Angeboten</w:t>
      </w:r>
      <w:r w:rsidR="00F10236">
        <w:rPr>
          <w:rFonts w:eastAsia="Calibri" w:cs="Arial"/>
          <w:i/>
          <w:sz w:val="20"/>
          <w:szCs w:val="22"/>
          <w:lang w:eastAsia="en-US"/>
        </w:rPr>
        <w:t xml:space="preserve">, die </w:t>
      </w:r>
      <w:r w:rsidR="000C0A2D">
        <w:rPr>
          <w:rFonts w:eastAsia="Calibri" w:cs="Arial"/>
          <w:i/>
          <w:sz w:val="20"/>
          <w:szCs w:val="22"/>
          <w:lang w:eastAsia="en-US"/>
        </w:rPr>
        <w:t>ganztägig</w:t>
      </w:r>
      <w:r w:rsidR="00F10236">
        <w:rPr>
          <w:rFonts w:eastAsia="Calibri" w:cs="Arial"/>
          <w:i/>
          <w:sz w:val="20"/>
          <w:szCs w:val="22"/>
          <w:lang w:eastAsia="en-US"/>
        </w:rPr>
        <w:t xml:space="preserve"> geöffnet haben</w:t>
      </w:r>
      <w:r w:rsidR="00584C5A">
        <w:rPr>
          <w:rFonts w:eastAsia="Calibri" w:cs="Arial"/>
          <w:i/>
          <w:sz w:val="20"/>
          <w:szCs w:val="22"/>
          <w:lang w:eastAsia="en-US"/>
        </w:rPr>
        <w:t>.</w:t>
      </w:r>
      <w:r w:rsidR="00E951FE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584C5A">
        <w:rPr>
          <w:rFonts w:eastAsia="Calibri" w:cs="Arial"/>
          <w:i/>
          <w:sz w:val="20"/>
          <w:szCs w:val="22"/>
          <w:lang w:eastAsia="en-US"/>
        </w:rPr>
        <w:t xml:space="preserve">Im Süderelberaum gibt es </w:t>
      </w:r>
      <w:r w:rsidR="009169FE">
        <w:rPr>
          <w:rFonts w:eastAsia="Calibri" w:cs="Arial"/>
          <w:i/>
          <w:sz w:val="20"/>
          <w:szCs w:val="22"/>
          <w:lang w:eastAsia="en-US"/>
        </w:rPr>
        <w:t>beispielsweise</w:t>
      </w:r>
      <w:r w:rsidR="00584C5A">
        <w:rPr>
          <w:rFonts w:eastAsia="Calibri" w:cs="Arial"/>
          <w:i/>
          <w:sz w:val="20"/>
          <w:szCs w:val="22"/>
          <w:lang w:eastAsia="en-US"/>
        </w:rPr>
        <w:t xml:space="preserve"> nur an zwei Standorten dezentrale Impfzentren – im AK Harburg mit Terminvergabe und </w:t>
      </w:r>
      <w:r w:rsidR="00D01A2A">
        <w:rPr>
          <w:rFonts w:eastAsia="Calibri" w:cs="Arial"/>
          <w:i/>
          <w:sz w:val="20"/>
          <w:szCs w:val="22"/>
          <w:lang w:eastAsia="en-US"/>
        </w:rPr>
        <w:t xml:space="preserve">nur </w:t>
      </w:r>
      <w:r w:rsidR="009169FE">
        <w:rPr>
          <w:rFonts w:eastAsia="Calibri" w:cs="Arial"/>
          <w:i/>
          <w:sz w:val="20"/>
          <w:szCs w:val="22"/>
          <w:lang w:eastAsia="en-US"/>
        </w:rPr>
        <w:t xml:space="preserve">an wenigen Tagen in der Woche </w:t>
      </w:r>
      <w:r w:rsidR="00584C5A">
        <w:rPr>
          <w:rFonts w:eastAsia="Calibri" w:cs="Arial"/>
          <w:i/>
          <w:sz w:val="20"/>
          <w:szCs w:val="22"/>
          <w:lang w:eastAsia="en-US"/>
        </w:rPr>
        <w:t>am EKZ Phoenix-Center</w:t>
      </w:r>
      <w:r w:rsidR="009169FE">
        <w:rPr>
          <w:rFonts w:eastAsia="Calibri" w:cs="Arial"/>
          <w:i/>
          <w:sz w:val="20"/>
          <w:szCs w:val="22"/>
          <w:lang w:eastAsia="en-US"/>
        </w:rPr>
        <w:t xml:space="preserve">. In Wilhelmsburg oder Finkenwerder gibt es bisher kein dezentrales Impfzentrum, das nächste offene Impfangebot durch das mobile Impfteam </w:t>
      </w:r>
      <w:r w:rsidR="00A24F2E">
        <w:rPr>
          <w:rFonts w:eastAsia="Calibri" w:cs="Arial"/>
          <w:i/>
          <w:sz w:val="20"/>
          <w:szCs w:val="22"/>
          <w:lang w:eastAsia="en-US"/>
        </w:rPr>
        <w:t xml:space="preserve">findet </w:t>
      </w:r>
      <w:r w:rsidR="009169FE">
        <w:rPr>
          <w:rFonts w:eastAsia="Calibri" w:cs="Arial"/>
          <w:i/>
          <w:sz w:val="20"/>
          <w:szCs w:val="22"/>
          <w:lang w:eastAsia="en-US"/>
        </w:rPr>
        <w:t>erst am 10. Dezember in Finkenwerder und in Wilhelmsburg am 18. Dezember</w:t>
      </w:r>
      <w:r w:rsidR="00A24F2E">
        <w:rPr>
          <w:rFonts w:eastAsia="Calibri" w:cs="Arial"/>
          <w:i/>
          <w:sz w:val="20"/>
          <w:szCs w:val="22"/>
          <w:lang w:eastAsia="en-US"/>
        </w:rPr>
        <w:t xml:space="preserve"> statt</w:t>
      </w:r>
      <w:r w:rsidR="009169FE">
        <w:rPr>
          <w:rFonts w:eastAsia="Calibri" w:cs="Arial"/>
          <w:i/>
          <w:sz w:val="20"/>
          <w:szCs w:val="22"/>
          <w:lang w:eastAsia="en-US"/>
        </w:rPr>
        <w:t xml:space="preserve">. </w:t>
      </w:r>
      <w:r w:rsidR="00A0462D">
        <w:rPr>
          <w:rFonts w:eastAsia="Calibri" w:cs="Arial"/>
          <w:i/>
          <w:sz w:val="20"/>
          <w:szCs w:val="22"/>
          <w:lang w:eastAsia="en-US"/>
        </w:rPr>
        <w:t>Und auch im zusätzlichen Impfzentrum im Bezirksamt Mitte wird nur sonntags geimpft. Ähnlich ungenügend ist das Impfangebot in Bergedorf. Dort impft das</w:t>
      </w:r>
      <w:r w:rsidR="00D01A2A">
        <w:rPr>
          <w:rFonts w:eastAsia="Calibri" w:cs="Arial"/>
          <w:i/>
          <w:sz w:val="20"/>
          <w:szCs w:val="22"/>
          <w:lang w:eastAsia="en-US"/>
        </w:rPr>
        <w:t xml:space="preserve"> Be</w:t>
      </w:r>
      <w:r w:rsidR="009169FE">
        <w:rPr>
          <w:rFonts w:eastAsia="Calibri" w:cs="Arial"/>
          <w:i/>
          <w:sz w:val="20"/>
          <w:szCs w:val="22"/>
          <w:lang w:eastAsia="en-US"/>
        </w:rPr>
        <w:t>thesda Krankenhaus nur an zwei Tagen in der Woche</w:t>
      </w:r>
      <w:r w:rsidR="00A553ED">
        <w:rPr>
          <w:rFonts w:eastAsia="Calibri" w:cs="Arial"/>
          <w:i/>
          <w:sz w:val="20"/>
          <w:szCs w:val="22"/>
          <w:lang w:eastAsia="en-US"/>
        </w:rPr>
        <w:t xml:space="preserve"> und stellt das Angebot aus Kapazitätsgründen </w:t>
      </w:r>
      <w:r w:rsidR="00A0462D">
        <w:rPr>
          <w:rFonts w:eastAsia="Calibri" w:cs="Arial"/>
          <w:i/>
          <w:sz w:val="20"/>
          <w:szCs w:val="22"/>
          <w:lang w:eastAsia="en-US"/>
        </w:rPr>
        <w:t xml:space="preserve">sogar </w:t>
      </w:r>
      <w:r w:rsidR="00A553ED">
        <w:rPr>
          <w:rFonts w:eastAsia="Calibri" w:cs="Arial"/>
          <w:i/>
          <w:sz w:val="20"/>
          <w:szCs w:val="22"/>
          <w:lang w:eastAsia="en-US"/>
        </w:rPr>
        <w:t>zum 23.12.</w:t>
      </w:r>
      <w:r w:rsidR="00A0462D">
        <w:rPr>
          <w:rFonts w:eastAsia="Calibri" w:cs="Arial"/>
          <w:i/>
          <w:sz w:val="20"/>
          <w:szCs w:val="22"/>
          <w:lang w:eastAsia="en-US"/>
        </w:rPr>
        <w:t>21</w:t>
      </w:r>
      <w:r w:rsidR="00A553ED">
        <w:rPr>
          <w:rFonts w:eastAsia="Calibri" w:cs="Arial"/>
          <w:i/>
          <w:sz w:val="20"/>
          <w:szCs w:val="22"/>
          <w:lang w:eastAsia="en-US"/>
        </w:rPr>
        <w:t xml:space="preserve"> ein. </w:t>
      </w:r>
      <w:r w:rsidR="00A0462D">
        <w:rPr>
          <w:rFonts w:eastAsia="Calibri" w:cs="Arial"/>
          <w:i/>
          <w:sz w:val="20"/>
          <w:szCs w:val="22"/>
          <w:lang w:eastAsia="en-US"/>
        </w:rPr>
        <w:t xml:space="preserve">Das neue zusätzliche Impfzentrum in der </w:t>
      </w:r>
      <w:r w:rsidR="00A0462D" w:rsidRPr="00A0462D">
        <w:rPr>
          <w:rFonts w:eastAsia="Calibri" w:cs="Arial"/>
          <w:i/>
          <w:sz w:val="20"/>
          <w:szCs w:val="22"/>
          <w:lang w:eastAsia="en-US"/>
        </w:rPr>
        <w:t xml:space="preserve">Chrysanderstraße </w:t>
      </w:r>
      <w:r w:rsidR="00A0462D">
        <w:rPr>
          <w:rFonts w:eastAsia="Calibri" w:cs="Arial"/>
          <w:i/>
          <w:sz w:val="20"/>
          <w:szCs w:val="22"/>
          <w:lang w:eastAsia="en-US"/>
        </w:rPr>
        <w:t xml:space="preserve">hat </w:t>
      </w:r>
      <w:r w:rsidR="00437645">
        <w:rPr>
          <w:rFonts w:eastAsia="Calibri" w:cs="Arial"/>
          <w:i/>
          <w:sz w:val="20"/>
          <w:szCs w:val="22"/>
          <w:lang w:eastAsia="en-US"/>
        </w:rPr>
        <w:t>ebenfalls nur an zwei Tagen pro Woche geöffnet.</w:t>
      </w:r>
      <w:r w:rsidR="00AB005B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A553ED">
        <w:rPr>
          <w:rFonts w:eastAsia="Calibri" w:cs="Arial"/>
          <w:i/>
          <w:sz w:val="20"/>
          <w:szCs w:val="22"/>
          <w:lang w:eastAsia="en-US"/>
        </w:rPr>
        <w:t>E</w:t>
      </w:r>
      <w:r w:rsidR="009169FE">
        <w:rPr>
          <w:rFonts w:eastAsia="Calibri" w:cs="Arial"/>
          <w:i/>
          <w:sz w:val="20"/>
          <w:szCs w:val="22"/>
          <w:lang w:eastAsia="en-US"/>
        </w:rPr>
        <w:t xml:space="preserve">rgänzt </w:t>
      </w:r>
      <w:r w:rsidR="00A553ED">
        <w:rPr>
          <w:rFonts w:eastAsia="Calibri" w:cs="Arial"/>
          <w:i/>
          <w:sz w:val="20"/>
          <w:szCs w:val="22"/>
          <w:lang w:eastAsia="en-US"/>
        </w:rPr>
        <w:t xml:space="preserve">wird das Bergedorfer Angebot </w:t>
      </w:r>
      <w:r w:rsidR="00C345AA">
        <w:rPr>
          <w:rFonts w:eastAsia="Calibri" w:cs="Arial"/>
          <w:i/>
          <w:sz w:val="20"/>
          <w:szCs w:val="22"/>
          <w:lang w:eastAsia="en-US"/>
        </w:rPr>
        <w:t xml:space="preserve">zwar </w:t>
      </w:r>
      <w:r w:rsidR="009169FE">
        <w:rPr>
          <w:rFonts w:eastAsia="Calibri" w:cs="Arial"/>
          <w:i/>
          <w:sz w:val="20"/>
          <w:szCs w:val="22"/>
          <w:lang w:eastAsia="en-US"/>
        </w:rPr>
        <w:t>durch vereinzelte Impfaktionen in Vereinen und Jugendtreffs</w:t>
      </w:r>
      <w:r w:rsidR="00C345AA">
        <w:rPr>
          <w:rFonts w:eastAsia="Calibri" w:cs="Arial"/>
          <w:i/>
          <w:sz w:val="20"/>
          <w:szCs w:val="22"/>
          <w:lang w:eastAsia="en-US"/>
        </w:rPr>
        <w:t>, i</w:t>
      </w:r>
      <w:r w:rsidR="009169FE">
        <w:rPr>
          <w:rFonts w:eastAsia="Calibri" w:cs="Arial"/>
          <w:i/>
          <w:sz w:val="20"/>
          <w:szCs w:val="22"/>
          <w:lang w:eastAsia="en-US"/>
        </w:rPr>
        <w:t xml:space="preserve">n Bergedorf-West, Neuallermöhe oder in den Vier- und Marschlanden fehlt es </w:t>
      </w:r>
      <w:r w:rsidR="00C345AA">
        <w:rPr>
          <w:rFonts w:eastAsia="Calibri" w:cs="Arial"/>
          <w:i/>
          <w:sz w:val="20"/>
          <w:szCs w:val="22"/>
          <w:lang w:eastAsia="en-US"/>
        </w:rPr>
        <w:t xml:space="preserve">aber </w:t>
      </w:r>
      <w:r w:rsidR="009169FE">
        <w:rPr>
          <w:rFonts w:eastAsia="Calibri" w:cs="Arial"/>
          <w:i/>
          <w:sz w:val="20"/>
          <w:szCs w:val="22"/>
          <w:lang w:eastAsia="en-US"/>
        </w:rPr>
        <w:t xml:space="preserve">weiterhin an niedrigschwelligen Impfangeboten. </w:t>
      </w:r>
      <w:r w:rsidR="00A0462D">
        <w:rPr>
          <w:rFonts w:eastAsia="Calibri" w:cs="Arial"/>
          <w:i/>
          <w:sz w:val="20"/>
          <w:szCs w:val="22"/>
          <w:lang w:eastAsia="en-US"/>
        </w:rPr>
        <w:t xml:space="preserve">Von einem flächendeckenden niedrigschwelligen Impfangebot ist Hamburg </w:t>
      </w:r>
      <w:r w:rsidR="00C345AA">
        <w:rPr>
          <w:rFonts w:eastAsia="Calibri" w:cs="Arial"/>
          <w:i/>
          <w:sz w:val="20"/>
          <w:szCs w:val="22"/>
          <w:lang w:eastAsia="en-US"/>
        </w:rPr>
        <w:t xml:space="preserve">also </w:t>
      </w:r>
      <w:r w:rsidR="00A0462D">
        <w:rPr>
          <w:rFonts w:eastAsia="Calibri" w:cs="Arial"/>
          <w:i/>
          <w:sz w:val="20"/>
          <w:szCs w:val="22"/>
          <w:lang w:eastAsia="en-US"/>
        </w:rPr>
        <w:t>immer noch weit entfernt.</w:t>
      </w:r>
    </w:p>
    <w:p w14:paraId="4EF2ABAB" w14:textId="23BDB499" w:rsidR="006A70AF" w:rsidRDefault="00B106AA" w:rsidP="004C6106">
      <w:pPr>
        <w:pStyle w:val="Standard1"/>
        <w:jc w:val="both"/>
        <w:rPr>
          <w:rFonts w:eastAsia="Calibri" w:cs="Arial"/>
          <w:i/>
          <w:sz w:val="20"/>
          <w:szCs w:val="22"/>
          <w:lang w:eastAsia="en-US"/>
        </w:rPr>
      </w:pPr>
      <w:r>
        <w:rPr>
          <w:rFonts w:eastAsia="Calibri" w:cs="Arial"/>
          <w:i/>
          <w:sz w:val="20"/>
          <w:szCs w:val="22"/>
          <w:lang w:eastAsia="en-US"/>
        </w:rPr>
        <w:t>Neben den fehlenden Impfangeboten, fehlt es</w:t>
      </w:r>
      <w:r w:rsidR="000D424F">
        <w:rPr>
          <w:rFonts w:eastAsia="Calibri" w:cs="Arial"/>
          <w:i/>
          <w:sz w:val="20"/>
          <w:szCs w:val="22"/>
          <w:lang w:eastAsia="en-US"/>
        </w:rPr>
        <w:t xml:space="preserve"> in vielen Stadtteilen</w:t>
      </w:r>
      <w:r>
        <w:rPr>
          <w:rFonts w:eastAsia="Calibri" w:cs="Arial"/>
          <w:i/>
          <w:sz w:val="20"/>
          <w:szCs w:val="22"/>
          <w:lang w:eastAsia="en-US"/>
        </w:rPr>
        <w:t xml:space="preserve"> auch </w:t>
      </w:r>
      <w:r w:rsidR="0017190E">
        <w:rPr>
          <w:rFonts w:eastAsia="Calibri" w:cs="Arial"/>
          <w:i/>
          <w:sz w:val="20"/>
          <w:szCs w:val="22"/>
          <w:lang w:eastAsia="en-US"/>
        </w:rPr>
        <w:t xml:space="preserve">an Testmöglichkeiten. </w:t>
      </w:r>
      <w:r w:rsidR="001D1236">
        <w:rPr>
          <w:rFonts w:eastAsia="Calibri" w:cs="Arial"/>
          <w:i/>
          <w:sz w:val="20"/>
          <w:szCs w:val="22"/>
          <w:lang w:eastAsia="en-US"/>
        </w:rPr>
        <w:t>Weil das Angebot kostenloser</w:t>
      </w:r>
      <w:r w:rsidR="0017190E">
        <w:rPr>
          <w:rFonts w:eastAsia="Calibri" w:cs="Arial"/>
          <w:i/>
          <w:sz w:val="20"/>
          <w:szCs w:val="22"/>
          <w:lang w:eastAsia="en-US"/>
        </w:rPr>
        <w:t xml:space="preserve"> Bürgertests </w:t>
      </w:r>
      <w:r w:rsidR="001D1236">
        <w:rPr>
          <w:rFonts w:eastAsia="Calibri" w:cs="Arial"/>
          <w:i/>
          <w:sz w:val="20"/>
          <w:szCs w:val="22"/>
          <w:lang w:eastAsia="en-US"/>
        </w:rPr>
        <w:t>zunächst eingestellt wurde, haben</w:t>
      </w:r>
      <w:r w:rsidR="0017190E">
        <w:rPr>
          <w:rFonts w:eastAsia="Calibri" w:cs="Arial"/>
          <w:i/>
          <w:sz w:val="20"/>
          <w:szCs w:val="22"/>
          <w:lang w:eastAsia="en-US"/>
        </w:rPr>
        <w:t xml:space="preserve"> zahlreiche T</w:t>
      </w:r>
      <w:r w:rsidR="001D1236">
        <w:rPr>
          <w:rFonts w:eastAsia="Calibri" w:cs="Arial"/>
          <w:i/>
          <w:sz w:val="20"/>
          <w:szCs w:val="22"/>
          <w:lang w:eastAsia="en-US"/>
        </w:rPr>
        <w:t xml:space="preserve">estzentren </w:t>
      </w:r>
      <w:r w:rsidR="000C0A2D">
        <w:rPr>
          <w:rFonts w:eastAsia="Calibri" w:cs="Arial"/>
          <w:i/>
          <w:sz w:val="20"/>
          <w:szCs w:val="22"/>
          <w:lang w:eastAsia="en-US"/>
        </w:rPr>
        <w:t xml:space="preserve">bereits </w:t>
      </w:r>
      <w:r w:rsidR="001D1236">
        <w:rPr>
          <w:rFonts w:eastAsia="Calibri" w:cs="Arial"/>
          <w:i/>
          <w:sz w:val="20"/>
          <w:szCs w:val="22"/>
          <w:lang w:eastAsia="en-US"/>
        </w:rPr>
        <w:t>Mitte Oktober geschlossen. V</w:t>
      </w:r>
      <w:r w:rsidR="0017190E">
        <w:rPr>
          <w:rFonts w:eastAsia="Calibri" w:cs="Arial"/>
          <w:i/>
          <w:sz w:val="20"/>
          <w:szCs w:val="22"/>
          <w:lang w:eastAsia="en-US"/>
        </w:rPr>
        <w:t xml:space="preserve">iele Hamburger:innen </w:t>
      </w:r>
      <w:r w:rsidR="001D1236">
        <w:rPr>
          <w:rFonts w:eastAsia="Calibri" w:cs="Arial"/>
          <w:i/>
          <w:sz w:val="20"/>
          <w:szCs w:val="22"/>
          <w:lang w:eastAsia="en-US"/>
        </w:rPr>
        <w:t xml:space="preserve">müssen </w:t>
      </w:r>
      <w:r w:rsidR="0017190E">
        <w:rPr>
          <w:rFonts w:eastAsia="Calibri" w:cs="Arial"/>
          <w:i/>
          <w:sz w:val="20"/>
          <w:szCs w:val="22"/>
          <w:lang w:eastAsia="en-US"/>
        </w:rPr>
        <w:t xml:space="preserve">jetzt längere Wege zurücklegen bis sie die </w:t>
      </w:r>
      <w:r w:rsidR="0017190E">
        <w:rPr>
          <w:rFonts w:eastAsia="Calibri" w:cs="Arial"/>
          <w:i/>
          <w:sz w:val="20"/>
          <w:szCs w:val="22"/>
          <w:lang w:eastAsia="en-US"/>
        </w:rPr>
        <w:lastRenderedPageBreak/>
        <w:t>nächste Teststation erreichen</w:t>
      </w:r>
      <w:r w:rsidR="00A553ED">
        <w:rPr>
          <w:rFonts w:eastAsia="Calibri" w:cs="Arial"/>
          <w:i/>
          <w:sz w:val="20"/>
          <w:szCs w:val="22"/>
          <w:lang w:eastAsia="en-US"/>
        </w:rPr>
        <w:t xml:space="preserve">, können dafür aber den ÖPNV nicht nutzen und müssen </w:t>
      </w:r>
      <w:r w:rsidR="00280B31">
        <w:rPr>
          <w:rFonts w:eastAsia="Calibri" w:cs="Arial"/>
          <w:i/>
          <w:sz w:val="20"/>
          <w:szCs w:val="22"/>
          <w:lang w:eastAsia="en-US"/>
        </w:rPr>
        <w:t xml:space="preserve">ggf. </w:t>
      </w:r>
      <w:r w:rsidR="00A553ED">
        <w:rPr>
          <w:rFonts w:eastAsia="Calibri" w:cs="Arial"/>
          <w:i/>
          <w:sz w:val="20"/>
          <w:szCs w:val="22"/>
          <w:lang w:eastAsia="en-US"/>
        </w:rPr>
        <w:t>stattdessen zu Fuß gehen</w:t>
      </w:r>
      <w:r w:rsidR="00280B31">
        <w:rPr>
          <w:rFonts w:eastAsia="Calibri" w:cs="Arial"/>
          <w:i/>
          <w:sz w:val="20"/>
          <w:szCs w:val="22"/>
          <w:lang w:eastAsia="en-US"/>
        </w:rPr>
        <w:t xml:space="preserve"> oder</w:t>
      </w:r>
      <w:r w:rsidR="00A553ED">
        <w:rPr>
          <w:rFonts w:eastAsia="Calibri" w:cs="Arial"/>
          <w:i/>
          <w:sz w:val="20"/>
          <w:szCs w:val="22"/>
          <w:lang w:eastAsia="en-US"/>
        </w:rPr>
        <w:t xml:space="preserve"> mit dem Fahr</w:t>
      </w:r>
      <w:r w:rsidR="00280B31">
        <w:rPr>
          <w:rFonts w:eastAsia="Calibri" w:cs="Arial"/>
          <w:i/>
          <w:sz w:val="20"/>
          <w:szCs w:val="22"/>
          <w:lang w:eastAsia="en-US"/>
        </w:rPr>
        <w:t>rad fahren.</w:t>
      </w:r>
      <w:r w:rsidR="0017190E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1D1236">
        <w:rPr>
          <w:rFonts w:eastAsia="Calibri" w:cs="Arial"/>
          <w:i/>
          <w:sz w:val="20"/>
          <w:szCs w:val="22"/>
          <w:lang w:eastAsia="en-US"/>
        </w:rPr>
        <w:t>Im</w:t>
      </w:r>
      <w:r w:rsidR="001D1236" w:rsidRPr="00090232">
        <w:rPr>
          <w:rFonts w:eastAsia="Calibri" w:cs="Arial"/>
          <w:i/>
          <w:sz w:val="20"/>
          <w:szCs w:val="22"/>
          <w:lang w:eastAsia="en-US"/>
        </w:rPr>
        <w:t xml:space="preserve"> Stadtteil Langenhorn </w:t>
      </w:r>
      <w:r w:rsidR="001D1236">
        <w:rPr>
          <w:rFonts w:eastAsia="Calibri" w:cs="Arial"/>
          <w:i/>
          <w:sz w:val="20"/>
          <w:szCs w:val="22"/>
          <w:lang w:eastAsia="en-US"/>
        </w:rPr>
        <w:t xml:space="preserve">gibt es beispielsweise </w:t>
      </w:r>
      <w:r w:rsidR="001D1236" w:rsidRPr="00090232">
        <w:rPr>
          <w:rFonts w:eastAsia="Calibri" w:cs="Arial"/>
          <w:i/>
          <w:sz w:val="20"/>
          <w:szCs w:val="22"/>
          <w:lang w:eastAsia="en-US"/>
        </w:rPr>
        <w:t>nur zwei Teststellen, die ab 9 bzw. ab 10 Uhr</w:t>
      </w:r>
      <w:r w:rsidR="001D1236" w:rsidRPr="001D1236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1D1236" w:rsidRPr="00090232">
        <w:rPr>
          <w:rFonts w:eastAsia="Calibri" w:cs="Arial"/>
          <w:i/>
          <w:sz w:val="20"/>
          <w:szCs w:val="22"/>
          <w:lang w:eastAsia="en-US"/>
        </w:rPr>
        <w:t xml:space="preserve">geöffnet sind. In Steilshoop gibt es gar keine Teststelle. </w:t>
      </w:r>
      <w:r w:rsidR="000D424F">
        <w:rPr>
          <w:rFonts w:eastAsia="Calibri" w:cs="Arial"/>
          <w:i/>
          <w:sz w:val="20"/>
          <w:szCs w:val="22"/>
          <w:lang w:eastAsia="en-US"/>
        </w:rPr>
        <w:t xml:space="preserve">Mit der Einführung der 3G-Regelung am Arbeitsplatz und </w:t>
      </w:r>
      <w:r w:rsidR="00280B31">
        <w:rPr>
          <w:rFonts w:eastAsia="Calibri" w:cs="Arial"/>
          <w:i/>
          <w:sz w:val="20"/>
          <w:szCs w:val="22"/>
          <w:lang w:eastAsia="en-US"/>
        </w:rPr>
        <w:t xml:space="preserve">im </w:t>
      </w:r>
      <w:r w:rsidR="000D424F">
        <w:rPr>
          <w:rFonts w:eastAsia="Calibri" w:cs="Arial"/>
          <w:i/>
          <w:sz w:val="20"/>
          <w:szCs w:val="22"/>
          <w:lang w:eastAsia="en-US"/>
        </w:rPr>
        <w:t xml:space="preserve">öffentlichen Nahverkehr am 24. November ist der Bedarf an Testmöglichkeiten </w:t>
      </w:r>
      <w:r w:rsidR="00BC6F2E">
        <w:rPr>
          <w:rFonts w:eastAsia="Calibri" w:cs="Arial"/>
          <w:i/>
          <w:sz w:val="20"/>
          <w:szCs w:val="22"/>
          <w:lang w:eastAsia="en-US"/>
        </w:rPr>
        <w:t xml:space="preserve">aber </w:t>
      </w:r>
      <w:r w:rsidR="001D1236">
        <w:rPr>
          <w:rFonts w:eastAsia="Calibri" w:cs="Arial"/>
          <w:i/>
          <w:sz w:val="20"/>
          <w:szCs w:val="22"/>
          <w:lang w:eastAsia="en-US"/>
        </w:rPr>
        <w:t xml:space="preserve">wieder deutlich </w:t>
      </w:r>
      <w:r w:rsidR="000D424F">
        <w:rPr>
          <w:rFonts w:eastAsia="Calibri" w:cs="Arial"/>
          <w:i/>
          <w:sz w:val="20"/>
          <w:szCs w:val="22"/>
          <w:lang w:eastAsia="en-US"/>
        </w:rPr>
        <w:t>gestiegen</w:t>
      </w:r>
      <w:r w:rsidR="001D1236">
        <w:rPr>
          <w:rFonts w:eastAsia="Calibri" w:cs="Arial"/>
          <w:i/>
          <w:sz w:val="20"/>
          <w:szCs w:val="22"/>
          <w:lang w:eastAsia="en-US"/>
        </w:rPr>
        <w:t>.</w:t>
      </w:r>
      <w:r w:rsidR="000D424F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090232" w:rsidRPr="00090232">
        <w:rPr>
          <w:rFonts w:eastAsia="Calibri" w:cs="Arial"/>
          <w:i/>
          <w:sz w:val="20"/>
          <w:szCs w:val="22"/>
          <w:lang w:eastAsia="en-US"/>
        </w:rPr>
        <w:t>Der ÖPNV gehört zur Daseinsvorsorge.</w:t>
      </w:r>
      <w:r w:rsidR="001D1236" w:rsidRPr="001D1236">
        <w:rPr>
          <w:rFonts w:eastAsia="Calibri" w:cs="Arial"/>
          <w:i/>
          <w:sz w:val="20"/>
          <w:szCs w:val="22"/>
          <w:lang w:eastAsia="en-US"/>
        </w:rPr>
        <w:t xml:space="preserve"> </w:t>
      </w:r>
      <w:r w:rsidR="001D1236" w:rsidRPr="00090232">
        <w:rPr>
          <w:rFonts w:eastAsia="Calibri" w:cs="Arial"/>
          <w:i/>
          <w:sz w:val="20"/>
          <w:szCs w:val="22"/>
          <w:lang w:eastAsia="en-US"/>
        </w:rPr>
        <w:t xml:space="preserve">Deshalb muss eine Voraussetzung für die 3G-Regelung im HVV </w:t>
      </w:r>
      <w:r w:rsidR="001D1236">
        <w:rPr>
          <w:rFonts w:eastAsia="Calibri" w:cs="Arial"/>
          <w:i/>
          <w:sz w:val="20"/>
          <w:szCs w:val="22"/>
          <w:lang w:eastAsia="en-US"/>
        </w:rPr>
        <w:t>und am Arbeitsplatz ausreichend Testangebote in den Stadtteilen sein.</w:t>
      </w:r>
      <w:r w:rsidR="00090232" w:rsidRPr="00090232">
        <w:rPr>
          <w:rFonts w:eastAsia="Calibri" w:cs="Arial"/>
          <w:i/>
          <w:sz w:val="20"/>
          <w:szCs w:val="22"/>
          <w:lang w:eastAsia="en-US"/>
        </w:rPr>
        <w:t xml:space="preserve"> Nicht nur Ungeimpfte, sondern auch diejenigen, die sich jetzt zu einer Impfung entschließen und auf die zweite Impfung wochenlang warten müssen, könnten ohne Test nicht länger mitfahren. </w:t>
      </w:r>
      <w:r w:rsidR="001D1236">
        <w:rPr>
          <w:rFonts w:eastAsia="Calibri" w:cs="Arial"/>
          <w:i/>
          <w:sz w:val="20"/>
          <w:szCs w:val="22"/>
          <w:lang w:eastAsia="en-US"/>
        </w:rPr>
        <w:t xml:space="preserve">Und auch für Geimpfte, die aus Vorsicht </w:t>
      </w:r>
      <w:r w:rsidR="00280B31">
        <w:rPr>
          <w:rFonts w:eastAsia="Calibri" w:cs="Arial"/>
          <w:i/>
          <w:sz w:val="20"/>
          <w:szCs w:val="22"/>
          <w:lang w:eastAsia="en-US"/>
        </w:rPr>
        <w:t xml:space="preserve">und aus Rücksicht auf andere </w:t>
      </w:r>
      <w:r w:rsidR="001D1236">
        <w:rPr>
          <w:rFonts w:eastAsia="Calibri" w:cs="Arial"/>
          <w:i/>
          <w:sz w:val="20"/>
          <w:szCs w:val="22"/>
          <w:lang w:eastAsia="en-US"/>
        </w:rPr>
        <w:t xml:space="preserve">noch einen Test machen möchten, muss </w:t>
      </w:r>
      <w:r w:rsidR="00090232" w:rsidRPr="00090232">
        <w:rPr>
          <w:rFonts w:eastAsia="Calibri" w:cs="Arial"/>
          <w:i/>
          <w:sz w:val="20"/>
          <w:szCs w:val="22"/>
          <w:lang w:eastAsia="en-US"/>
        </w:rPr>
        <w:t xml:space="preserve">ein ausreichend großes Angebot für kostenlose Schnelltests in allen Stadtteilen </w:t>
      </w:r>
      <w:r w:rsidR="001D1236">
        <w:rPr>
          <w:rFonts w:eastAsia="Calibri" w:cs="Arial"/>
          <w:i/>
          <w:sz w:val="20"/>
          <w:szCs w:val="22"/>
          <w:lang w:eastAsia="en-US"/>
        </w:rPr>
        <w:t>vorgehalten werden</w:t>
      </w:r>
      <w:r>
        <w:rPr>
          <w:rFonts w:eastAsia="Calibri" w:cs="Arial"/>
          <w:i/>
          <w:sz w:val="20"/>
          <w:szCs w:val="22"/>
          <w:lang w:eastAsia="en-US"/>
        </w:rPr>
        <w:t>.</w:t>
      </w:r>
    </w:p>
    <w:p w14:paraId="4EB09B95" w14:textId="77777777" w:rsidR="00E42AEF" w:rsidRDefault="00E42AEF">
      <w:pPr>
        <w:pStyle w:val="Standard1"/>
        <w:jc w:val="both"/>
        <w:rPr>
          <w:rFonts w:eastAsia="Calibri" w:cs="Arial"/>
          <w:i/>
          <w:sz w:val="20"/>
          <w:szCs w:val="22"/>
          <w:lang w:eastAsia="en-US"/>
        </w:rPr>
      </w:pPr>
    </w:p>
    <w:p w14:paraId="684D905F" w14:textId="77777777" w:rsidR="006A70AF" w:rsidRDefault="00D74A92">
      <w:pPr>
        <w:pStyle w:val="Standard1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Die Bürgerschaft möge beschließen:</w:t>
      </w:r>
    </w:p>
    <w:p w14:paraId="02A88646" w14:textId="77777777" w:rsidR="006A70AF" w:rsidRDefault="00D74A92">
      <w:pPr>
        <w:pStyle w:val="Standard1"/>
        <w:jc w:val="both"/>
        <w:rPr>
          <w:rFonts w:cs="Arial"/>
          <w:b/>
          <w:bCs/>
        </w:rPr>
      </w:pPr>
      <w:r>
        <w:rPr>
          <w:rFonts w:cs="Arial"/>
          <w:b/>
          <w:sz w:val="22"/>
          <w:szCs w:val="22"/>
        </w:rPr>
        <w:t>Der Senat wird aufgefordert,</w:t>
      </w:r>
    </w:p>
    <w:p w14:paraId="1633E547" w14:textId="59314B85" w:rsidR="00A710EB" w:rsidRDefault="00D63019" w:rsidP="00F10236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allen Bezirken die </w:t>
      </w:r>
      <w:r w:rsidR="00F92F01">
        <w:rPr>
          <w:rFonts w:cs="Arial"/>
          <w:sz w:val="22"/>
          <w:szCs w:val="22"/>
        </w:rPr>
        <w:t>wohnortnahe</w:t>
      </w:r>
      <w:r>
        <w:rPr>
          <w:rFonts w:cs="Arial"/>
          <w:sz w:val="22"/>
          <w:szCs w:val="22"/>
        </w:rPr>
        <w:t>n</w:t>
      </w:r>
      <w:r w:rsidR="00F92F01">
        <w:rPr>
          <w:rFonts w:cs="Arial"/>
          <w:sz w:val="22"/>
          <w:szCs w:val="22"/>
        </w:rPr>
        <w:t>,</w:t>
      </w:r>
      <w:r w:rsidR="00475AA4">
        <w:rPr>
          <w:rFonts w:cs="Arial"/>
          <w:sz w:val="22"/>
          <w:szCs w:val="22"/>
        </w:rPr>
        <w:t xml:space="preserve"> niedrigschwellige</w:t>
      </w:r>
      <w:r>
        <w:rPr>
          <w:rFonts w:cs="Arial"/>
          <w:sz w:val="22"/>
          <w:szCs w:val="22"/>
        </w:rPr>
        <w:t>n</w:t>
      </w:r>
      <w:r w:rsidR="00475AA4">
        <w:rPr>
          <w:rFonts w:cs="Arial"/>
          <w:sz w:val="22"/>
          <w:szCs w:val="22"/>
        </w:rPr>
        <w:t xml:space="preserve"> Impfangebote</w:t>
      </w:r>
      <w:r>
        <w:rPr>
          <w:rFonts w:cs="Arial"/>
          <w:sz w:val="22"/>
          <w:szCs w:val="22"/>
        </w:rPr>
        <w:t xml:space="preserve"> flächendeckend auszuweiten.</w:t>
      </w:r>
      <w:r w:rsidR="00F66359">
        <w:rPr>
          <w:rFonts w:cs="Arial"/>
          <w:sz w:val="22"/>
          <w:szCs w:val="22"/>
        </w:rPr>
        <w:t xml:space="preserve"> </w:t>
      </w:r>
      <w:r w:rsidR="002B36F5">
        <w:rPr>
          <w:rFonts w:cs="Arial"/>
          <w:sz w:val="22"/>
          <w:szCs w:val="22"/>
        </w:rPr>
        <w:t>Dabei sind</w:t>
      </w:r>
      <w:r w:rsidR="00F66359">
        <w:rPr>
          <w:rFonts w:cs="Arial"/>
          <w:sz w:val="22"/>
          <w:szCs w:val="22"/>
        </w:rPr>
        <w:t xml:space="preserve"> </w:t>
      </w:r>
      <w:r w:rsidR="00475AA4">
        <w:rPr>
          <w:rFonts w:cs="Arial"/>
          <w:sz w:val="22"/>
          <w:szCs w:val="22"/>
        </w:rPr>
        <w:t>Stadtteile mit hohen Inzidenzen</w:t>
      </w:r>
      <w:r>
        <w:rPr>
          <w:rFonts w:cs="Arial"/>
          <w:sz w:val="22"/>
          <w:szCs w:val="22"/>
        </w:rPr>
        <w:t>, geringer Arztdichte</w:t>
      </w:r>
      <w:r w:rsidR="00C85FE9">
        <w:rPr>
          <w:rFonts w:cs="Arial"/>
          <w:sz w:val="22"/>
          <w:szCs w:val="22"/>
        </w:rPr>
        <w:t xml:space="preserve"> und/oder schlechter Verkehrsanbindung</w:t>
      </w:r>
      <w:r w:rsidR="002B36F5">
        <w:rPr>
          <w:rFonts w:cs="Arial"/>
          <w:sz w:val="22"/>
          <w:szCs w:val="22"/>
        </w:rPr>
        <w:t>, wie</w:t>
      </w:r>
      <w:r>
        <w:rPr>
          <w:rFonts w:cs="Arial"/>
          <w:sz w:val="22"/>
          <w:szCs w:val="22"/>
        </w:rPr>
        <w:t xml:space="preserve"> z.B. </w:t>
      </w:r>
      <w:r w:rsidR="002B36F5">
        <w:rPr>
          <w:rFonts w:cs="Arial"/>
          <w:sz w:val="22"/>
          <w:szCs w:val="22"/>
        </w:rPr>
        <w:t xml:space="preserve"> Steilshoop,</w:t>
      </w:r>
      <w:r w:rsidR="00A73B69">
        <w:rPr>
          <w:rFonts w:cs="Arial"/>
          <w:sz w:val="22"/>
          <w:szCs w:val="22"/>
        </w:rPr>
        <w:t xml:space="preserve"> </w:t>
      </w:r>
      <w:r w:rsidR="00920911">
        <w:rPr>
          <w:rFonts w:cs="Arial"/>
          <w:sz w:val="22"/>
          <w:szCs w:val="22"/>
        </w:rPr>
        <w:t>Jenfeld, Billstedt</w:t>
      </w:r>
      <w:r w:rsidR="002B36F5">
        <w:rPr>
          <w:rFonts w:cs="Arial"/>
          <w:sz w:val="22"/>
          <w:szCs w:val="22"/>
        </w:rPr>
        <w:t>, Wilhelmsburg,</w:t>
      </w:r>
      <w:r w:rsidR="00A73B69" w:rsidRPr="00A73B69">
        <w:rPr>
          <w:rFonts w:cs="Arial"/>
          <w:sz w:val="22"/>
          <w:szCs w:val="22"/>
        </w:rPr>
        <w:t xml:space="preserve"> </w:t>
      </w:r>
      <w:r w:rsidR="00A73B69">
        <w:rPr>
          <w:rFonts w:cs="Arial"/>
          <w:sz w:val="22"/>
          <w:szCs w:val="22"/>
        </w:rPr>
        <w:t>Finkenwerder</w:t>
      </w:r>
      <w:r w:rsidR="00A73B69">
        <w:rPr>
          <w:rFonts w:cs="Arial"/>
          <w:sz w:val="22"/>
          <w:szCs w:val="22"/>
        </w:rPr>
        <w:t>,</w:t>
      </w:r>
      <w:r w:rsidR="002B36F5">
        <w:rPr>
          <w:rFonts w:cs="Arial"/>
          <w:sz w:val="22"/>
          <w:szCs w:val="22"/>
        </w:rPr>
        <w:t xml:space="preserve"> </w:t>
      </w:r>
      <w:r w:rsidR="00851972">
        <w:rPr>
          <w:rFonts w:cs="Arial"/>
          <w:sz w:val="22"/>
          <w:szCs w:val="22"/>
        </w:rPr>
        <w:t xml:space="preserve">Neuallermöhe, </w:t>
      </w:r>
      <w:r w:rsidR="00A73B69">
        <w:rPr>
          <w:rFonts w:cs="Arial"/>
          <w:sz w:val="22"/>
          <w:szCs w:val="22"/>
        </w:rPr>
        <w:t>Neugraben</w:t>
      </w:r>
      <w:r w:rsidR="00F66359">
        <w:rPr>
          <w:rFonts w:cs="Arial"/>
          <w:sz w:val="22"/>
          <w:szCs w:val="22"/>
        </w:rPr>
        <w:t>, prioritär</w:t>
      </w:r>
      <w:r w:rsidR="002B36F5">
        <w:rPr>
          <w:rFonts w:cs="Arial"/>
          <w:sz w:val="22"/>
          <w:szCs w:val="22"/>
        </w:rPr>
        <w:t xml:space="preserve"> zu </w:t>
      </w:r>
      <w:r w:rsidR="00F66359">
        <w:rPr>
          <w:rFonts w:cs="Arial"/>
          <w:sz w:val="22"/>
          <w:szCs w:val="22"/>
        </w:rPr>
        <w:t>berücksichtigen,</w:t>
      </w:r>
    </w:p>
    <w:p w14:paraId="5EB1A408" w14:textId="429F51AD" w:rsidR="00F92F01" w:rsidRDefault="00851972" w:rsidP="00F10236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sicherzustellen, dass die</w:t>
      </w:r>
      <w:r w:rsidR="002B36F5">
        <w:rPr>
          <w:rFonts w:cs="Arial"/>
          <w:sz w:val="22"/>
          <w:szCs w:val="22"/>
        </w:rPr>
        <w:t xml:space="preserve"> </w:t>
      </w:r>
      <w:r w:rsidR="00D63019">
        <w:rPr>
          <w:rFonts w:cs="Arial"/>
          <w:sz w:val="22"/>
          <w:szCs w:val="22"/>
        </w:rPr>
        <w:t>dezentralen Impfzentren</w:t>
      </w:r>
      <w:r w:rsidR="002B36F5">
        <w:rPr>
          <w:rFonts w:cs="Arial"/>
          <w:sz w:val="22"/>
          <w:szCs w:val="22"/>
        </w:rPr>
        <w:t xml:space="preserve"> an sieben Tagen pro Woche </w:t>
      </w:r>
      <w:r w:rsidR="00D63019">
        <w:rPr>
          <w:rFonts w:cs="Arial"/>
          <w:sz w:val="22"/>
          <w:szCs w:val="22"/>
        </w:rPr>
        <w:t>ganztägig</w:t>
      </w:r>
      <w:r>
        <w:rPr>
          <w:rFonts w:cs="Arial"/>
          <w:sz w:val="22"/>
          <w:szCs w:val="22"/>
        </w:rPr>
        <w:t xml:space="preserve"> geöffnet sind</w:t>
      </w:r>
      <w:r w:rsidR="002B36F5">
        <w:rPr>
          <w:rFonts w:cs="Arial"/>
          <w:sz w:val="22"/>
          <w:szCs w:val="22"/>
        </w:rPr>
        <w:t>,</w:t>
      </w:r>
    </w:p>
    <w:p w14:paraId="1EE2ACB2" w14:textId="6C5B2137" w:rsidR="00644264" w:rsidRDefault="00D63019" w:rsidP="00F10236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Bremer Vorbild zusä</w:t>
      </w:r>
      <w:r w:rsidR="003F34DE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zlich Impftrucks und Impfbusse auf Markt</w:t>
      </w:r>
      <w:r w:rsidR="00AB005B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lätzen, Einkaufs</w:t>
      </w:r>
      <w:r w:rsidR="00AB005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traßen und anderen zentralen Orten einzusetzen</w:t>
      </w:r>
    </w:p>
    <w:p w14:paraId="14888F1A" w14:textId="3FC61924" w:rsidR="00D63019" w:rsidRDefault="00D63019" w:rsidP="00F10236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alle Bürger:innen, die nach der Stiko-Empfehlung impfberechtigt sind, persönlich anzuschreiben und ein Impfangebot zu unterbreiten</w:t>
      </w:r>
      <w:r w:rsidR="000C0A2D">
        <w:rPr>
          <w:rFonts w:cs="Arial"/>
          <w:sz w:val="22"/>
          <w:szCs w:val="22"/>
        </w:rPr>
        <w:t>,</w:t>
      </w:r>
      <w:bookmarkStart w:id="0" w:name="_GoBack"/>
      <w:bookmarkEnd w:id="0"/>
    </w:p>
    <w:p w14:paraId="3EB246A3" w14:textId="6BE36A5A" w:rsidR="00644264" w:rsidRDefault="00644264" w:rsidP="00F10236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Betriebsärzt:innen in die laufende Impfkampagne stärker einzubinden, indem freie Impf-Kapazitäten der Bevölkerung zugänglich gemacht werden, </w:t>
      </w:r>
    </w:p>
    <w:p w14:paraId="5FEF90F6" w14:textId="77777777" w:rsidR="00475AA4" w:rsidRDefault="00475AA4" w:rsidP="00F10236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allen Stadtteilen flächendeckend kostenlose Testangebote vorzuhalten. Hierbei sind </w:t>
      </w:r>
      <w:r w:rsidR="00E24990">
        <w:rPr>
          <w:rFonts w:cs="Arial"/>
          <w:sz w:val="22"/>
          <w:szCs w:val="22"/>
        </w:rPr>
        <w:t xml:space="preserve">Standorte an </w:t>
      </w:r>
      <w:r>
        <w:rPr>
          <w:rFonts w:cs="Arial"/>
          <w:sz w:val="22"/>
          <w:szCs w:val="22"/>
        </w:rPr>
        <w:t xml:space="preserve">S- und U-Bahnhöfe besonders zu priorisieren, </w:t>
      </w:r>
    </w:p>
    <w:p w14:paraId="049918BE" w14:textId="6F953DA3" w:rsidR="006A70AF" w:rsidRDefault="00D74A92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Bürgerschaft zum </w:t>
      </w:r>
      <w:r w:rsidR="00D63019">
        <w:rPr>
          <w:rFonts w:cs="Arial"/>
          <w:sz w:val="22"/>
          <w:szCs w:val="22"/>
        </w:rPr>
        <w:t>31</w:t>
      </w:r>
      <w:r>
        <w:rPr>
          <w:rFonts w:cs="Arial"/>
          <w:sz w:val="22"/>
          <w:szCs w:val="22"/>
        </w:rPr>
        <w:t>.</w:t>
      </w:r>
      <w:r w:rsidR="00D63019">
        <w:rPr>
          <w:rFonts w:cs="Arial"/>
          <w:sz w:val="22"/>
          <w:szCs w:val="22"/>
        </w:rPr>
        <w:t>01</w:t>
      </w:r>
      <w:r>
        <w:rPr>
          <w:rFonts w:cs="Arial"/>
          <w:sz w:val="22"/>
          <w:szCs w:val="22"/>
        </w:rPr>
        <w:t>.202</w:t>
      </w:r>
      <w:r w:rsidR="00D63019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und dann fortlaufend zu berichten.</w:t>
      </w:r>
    </w:p>
    <w:sectPr w:rsidR="006A70AF">
      <w:headerReference w:type="default" r:id="rId7"/>
      <w:pgSz w:w="11906" w:h="16838"/>
      <w:pgMar w:top="1417" w:right="1417" w:bottom="1134" w:left="1417" w:header="708" w:footer="0" w:gutter="0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30A8" w16cex:dateUtc="2021-11-25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F8A10" w16cid:durableId="254F4948"/>
  <w16cid:commentId w16cid:paraId="1A835D1F" w16cid:durableId="254F49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ECAF" w14:textId="77777777" w:rsidR="00E9062F" w:rsidRDefault="00E9062F">
      <w:r>
        <w:separator/>
      </w:r>
    </w:p>
  </w:endnote>
  <w:endnote w:type="continuationSeparator" w:id="0">
    <w:p w14:paraId="5987CD42" w14:textId="77777777" w:rsidR="00E9062F" w:rsidRDefault="00E9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7ED2E" w14:textId="77777777" w:rsidR="00E9062F" w:rsidRDefault="00E9062F">
      <w:r>
        <w:separator/>
      </w:r>
    </w:p>
  </w:footnote>
  <w:footnote w:type="continuationSeparator" w:id="0">
    <w:p w14:paraId="3EFACAB8" w14:textId="77777777" w:rsidR="00E9062F" w:rsidRDefault="00E9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8E68" w14:textId="77777777" w:rsidR="006A70AF" w:rsidRDefault="00D74A92">
    <w:pPr>
      <w:pStyle w:val="Kopfzeile"/>
      <w:rPr>
        <w:b/>
        <w:sz w:val="28"/>
      </w:rPr>
    </w:pPr>
    <w:r>
      <w:rPr>
        <w:b/>
        <w:sz w:val="28"/>
      </w:rPr>
      <w:t>BÜRGERSCHAFT</w:t>
    </w:r>
  </w:p>
  <w:p w14:paraId="1F3D21F2" w14:textId="77777777" w:rsidR="006A70AF" w:rsidRDefault="00D74A92">
    <w:pPr>
      <w:pStyle w:val="Kopfzeile"/>
    </w: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       <w:sz w:val="24"/>
        <w:szCs w:val="24"/>
      </w:rPr>
      <w:t xml:space="preserve">Drucksache </w:t>
    </w:r>
    <w:r>
      <w:rPr>
        <w:b/>
        <w:sz w:val="28"/>
      </w:rPr>
      <w:t>22/</w:t>
    </w:r>
  </w:p>
  <w:p w14:paraId="074C058D" w14:textId="77777777" w:rsidR="006A70AF" w:rsidRDefault="00D74A92">
    <w:pPr>
      <w:pStyle w:val="Kopfzeile"/>
    </w:pPr>
    <w:r>
      <w:rPr>
        <w:b/>
        <w:sz w:val="24"/>
        <w:szCs w:val="24"/>
      </w:rPr>
      <w:t>22. Wahlperiode</w:t>
    </w:r>
    <w:r>
      <w:rPr>
        <w:b/>
      </w:rPr>
      <w:tab/>
    </w:r>
    <w:r>
      <w:rPr>
        <w:b/>
      </w:rPr>
      <w:tab/>
      <w:t>xx.xx</w:t>
    </w:r>
    <w:r>
      <w:rPr>
        <w:b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0973"/>
    <w:multiLevelType w:val="multilevel"/>
    <w:tmpl w:val="8180B4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D4B7662"/>
    <w:multiLevelType w:val="multilevel"/>
    <w:tmpl w:val="C8227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93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AF"/>
    <w:rsid w:val="0004335E"/>
    <w:rsid w:val="00090232"/>
    <w:rsid w:val="000C0A2D"/>
    <w:rsid w:val="000D424F"/>
    <w:rsid w:val="0017190E"/>
    <w:rsid w:val="001D1236"/>
    <w:rsid w:val="002567EF"/>
    <w:rsid w:val="00280B31"/>
    <w:rsid w:val="002A37E1"/>
    <w:rsid w:val="002B36F5"/>
    <w:rsid w:val="002D190F"/>
    <w:rsid w:val="0031327F"/>
    <w:rsid w:val="003262FE"/>
    <w:rsid w:val="00340DEE"/>
    <w:rsid w:val="003F34DE"/>
    <w:rsid w:val="00437645"/>
    <w:rsid w:val="00475AA4"/>
    <w:rsid w:val="004C6106"/>
    <w:rsid w:val="00554641"/>
    <w:rsid w:val="0055648C"/>
    <w:rsid w:val="00584C5A"/>
    <w:rsid w:val="005D3F80"/>
    <w:rsid w:val="00644264"/>
    <w:rsid w:val="006A70AF"/>
    <w:rsid w:val="00753F59"/>
    <w:rsid w:val="00755969"/>
    <w:rsid w:val="007626B0"/>
    <w:rsid w:val="007841D8"/>
    <w:rsid w:val="008201A2"/>
    <w:rsid w:val="00851972"/>
    <w:rsid w:val="009169FE"/>
    <w:rsid w:val="00920911"/>
    <w:rsid w:val="00974902"/>
    <w:rsid w:val="009C4B87"/>
    <w:rsid w:val="00A033DD"/>
    <w:rsid w:val="00A0462D"/>
    <w:rsid w:val="00A06106"/>
    <w:rsid w:val="00A209D6"/>
    <w:rsid w:val="00A24F2E"/>
    <w:rsid w:val="00A37B40"/>
    <w:rsid w:val="00A553ED"/>
    <w:rsid w:val="00A710EB"/>
    <w:rsid w:val="00A73B69"/>
    <w:rsid w:val="00A80C1B"/>
    <w:rsid w:val="00A9715D"/>
    <w:rsid w:val="00AB005B"/>
    <w:rsid w:val="00AD0895"/>
    <w:rsid w:val="00B056E9"/>
    <w:rsid w:val="00B06EA6"/>
    <w:rsid w:val="00B106AA"/>
    <w:rsid w:val="00BC6F2E"/>
    <w:rsid w:val="00C345AA"/>
    <w:rsid w:val="00C85FE9"/>
    <w:rsid w:val="00D01A2A"/>
    <w:rsid w:val="00D63019"/>
    <w:rsid w:val="00D74A92"/>
    <w:rsid w:val="00DC607D"/>
    <w:rsid w:val="00E24990"/>
    <w:rsid w:val="00E42AEF"/>
    <w:rsid w:val="00E9062F"/>
    <w:rsid w:val="00E951FE"/>
    <w:rsid w:val="00EA3DC3"/>
    <w:rsid w:val="00EC1BA7"/>
    <w:rsid w:val="00F10236"/>
    <w:rsid w:val="00F66359"/>
    <w:rsid w:val="00F92F01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B7D7"/>
  <w15:docId w15:val="{AE118C04-1772-4A61-91DA-A2159BD7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qFormat/>
    <w:rPr>
      <w:rFonts w:ascii="Arial" w:eastAsia="Arial" w:hAnsi="Arial" w:cs="Arial"/>
    </w:rPr>
  </w:style>
  <w:style w:type="character" w:customStyle="1" w:styleId="SprechblasentextZchn">
    <w:name w:val="Sprechblasentext Zchn"/>
    <w:basedOn w:val="Absatz-Standardschriftart"/>
    <w:qFormat/>
    <w:rPr>
      <w:rFonts w:ascii="Tahoma" w:eastAsia="Tahoma" w:hAnsi="Tahoma" w:cs="Tahoma"/>
      <w:sz w:val="16"/>
      <w:szCs w:val="16"/>
    </w:rPr>
  </w:style>
  <w:style w:type="character" w:customStyle="1" w:styleId="Betont">
    <w:name w:val="Betont"/>
    <w:qFormat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12B4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912B4E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12B4E"/>
    <w:rPr>
      <w:b/>
      <w:bCs/>
      <w:szCs w:val="20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pPr>
      <w:widowControl w:val="0"/>
    </w:pPr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Verzeichnis">
    <w:name w:val="Verzeichnis"/>
    <w:basedOn w:val="Standard"/>
    <w:qFormat/>
    <w:pPr>
      <w:widowControl w:val="0"/>
      <w:suppressLineNumbers/>
    </w:pPr>
    <w:rPr>
      <w:rFonts w:cs="Lohit Devanagari"/>
    </w:rPr>
  </w:style>
  <w:style w:type="paragraph" w:customStyle="1" w:styleId="Standard1">
    <w:name w:val="Standard1"/>
    <w:qFormat/>
    <w:pPr>
      <w:spacing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body">
    <w:name w:val="Text body"/>
    <w:basedOn w:val="Standard1"/>
    <w:qFormat/>
    <w:pPr>
      <w:spacing w:after="140" w:line="276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1"/>
    <w:pPr>
      <w:tabs>
        <w:tab w:val="center" w:pos="4536"/>
        <w:tab w:val="right" w:pos="9072"/>
      </w:tabs>
      <w:spacing w:line="240" w:lineRule="auto"/>
    </w:pPr>
    <w:rPr>
      <w:rFonts w:eastAsia="Calibri" w:cs="DejaVu Sans"/>
      <w:sz w:val="22"/>
      <w:szCs w:val="22"/>
      <w:lang w:eastAsia="en-US"/>
    </w:rPr>
  </w:style>
  <w:style w:type="paragraph" w:styleId="Fuzeile">
    <w:name w:val="footer"/>
    <w:basedOn w:val="Standard1"/>
    <w:pPr>
      <w:tabs>
        <w:tab w:val="center" w:pos="4536"/>
        <w:tab w:val="right" w:pos="9072"/>
      </w:tabs>
      <w:spacing w:line="240" w:lineRule="auto"/>
    </w:pPr>
    <w:rPr>
      <w:rFonts w:eastAsia="Calibri" w:cs="DejaVu Sans"/>
      <w:sz w:val="22"/>
      <w:szCs w:val="22"/>
      <w:lang w:eastAsia="en-US"/>
    </w:rPr>
  </w:style>
  <w:style w:type="paragraph" w:styleId="Sprechblasentext">
    <w:name w:val="Balloon Text"/>
    <w:basedOn w:val="Standard1"/>
    <w:qFormat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912B4E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912B4E"/>
    <w:rPr>
      <w:b/>
      <w:bCs/>
    </w:rPr>
  </w:style>
  <w:style w:type="paragraph" w:styleId="berarbeitung">
    <w:name w:val="Revision"/>
    <w:uiPriority w:val="99"/>
    <w:semiHidden/>
    <w:qFormat/>
    <w:rsid w:val="00912B4E"/>
    <w:rPr>
      <w:sz w:val="24"/>
    </w:rPr>
  </w:style>
  <w:style w:type="paragraph" w:styleId="Listenabsatz">
    <w:name w:val="List Paragraph"/>
    <w:basedOn w:val="Standard"/>
    <w:uiPriority w:val="34"/>
    <w:qFormat/>
    <w:rsid w:val="00B82B6B"/>
    <w:pPr>
      <w:ind w:left="720"/>
      <w:contextualSpacing/>
    </w:pPr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Bürgerschaftskanzlei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Craß, Miriam</cp:lastModifiedBy>
  <cp:revision>6</cp:revision>
  <dcterms:created xsi:type="dcterms:W3CDTF">2021-11-29T14:09:00Z</dcterms:created>
  <dcterms:modified xsi:type="dcterms:W3CDTF">2021-11-29T14:15:00Z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Address">
    <vt:lpwstr>Rathausmarkt 1</vt:lpwstr>
  </property>
  <property fmtid="{D5CDD505-2E9C-101B-9397-08002B2CF9AE}" pid="3" name="BKCity">
    <vt:lpwstr>20095 Hamburg</vt:lpwstr>
  </property>
  <property fmtid="{D5CDD505-2E9C-101B-9397-08002B2CF9AE}" pid="4" name="BKDepartment">
    <vt:lpwstr>Plenum</vt:lpwstr>
  </property>
  <property fmtid="{D5CDD505-2E9C-101B-9397-08002B2CF9AE}" pid="5" name="BKEmail">
    <vt:lpwstr>birgit.maybohm@bk.hamburg.de</vt:lpwstr>
  </property>
  <property fmtid="{D5CDD505-2E9C-101B-9397-08002B2CF9AE}" pid="6" name="BKFax">
    <vt:lpwstr>+49 40 427 31-2296</vt:lpwstr>
  </property>
  <property fmtid="{D5CDD505-2E9C-101B-9397-08002B2CF9AE}" pid="7" name="BKName">
    <vt:lpwstr>Birgit Maybohm</vt:lpwstr>
  </property>
  <property fmtid="{D5CDD505-2E9C-101B-9397-08002B2CF9AE}" pid="8" name="BKPhone">
    <vt:lpwstr>+49 40 428 31-1370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