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009C" w14:textId="77777777" w:rsidR="00300BCC" w:rsidRDefault="00300BCC">
      <w:pPr>
        <w:pStyle w:val="Standard1"/>
        <w:spacing w:after="120"/>
        <w:jc w:val="both"/>
        <w:rPr>
          <w:rFonts w:cs="Arial"/>
          <w:szCs w:val="24"/>
        </w:rPr>
      </w:pPr>
    </w:p>
    <w:p w14:paraId="77892574" w14:textId="77777777" w:rsidR="00300BCC" w:rsidRDefault="009F5D7B">
      <w:pPr>
        <w:pStyle w:val="Standard1"/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N T R A G</w:t>
      </w:r>
    </w:p>
    <w:p w14:paraId="636EC99A" w14:textId="77777777" w:rsidR="00300BCC" w:rsidRDefault="00300BCC">
      <w:pPr>
        <w:pStyle w:val="Standard1"/>
        <w:spacing w:after="120"/>
        <w:jc w:val="center"/>
        <w:rPr>
          <w:rFonts w:cs="Arial"/>
          <w:szCs w:val="24"/>
        </w:rPr>
      </w:pPr>
    </w:p>
    <w:p w14:paraId="57079ADF" w14:textId="77777777" w:rsidR="003F7EB4" w:rsidRDefault="009F5D7B">
      <w:pPr>
        <w:pStyle w:val="Standard1"/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der </w:t>
      </w:r>
      <w:proofErr w:type="spellStart"/>
      <w:r>
        <w:rPr>
          <w:rFonts w:cs="Arial"/>
          <w:b/>
          <w:szCs w:val="24"/>
        </w:rPr>
        <w:t>Abg</w:t>
      </w:r>
      <w:proofErr w:type="spellEnd"/>
      <w:r>
        <w:rPr>
          <w:rFonts w:cs="Arial"/>
          <w:b/>
          <w:szCs w:val="24"/>
        </w:rPr>
        <w:t xml:space="preserve">. Dr. Stephanie Rose, Sabine </w:t>
      </w:r>
      <w:proofErr w:type="spellStart"/>
      <w:r>
        <w:rPr>
          <w:rFonts w:cs="Arial"/>
          <w:b/>
          <w:szCs w:val="24"/>
        </w:rPr>
        <w:t>Boeddinghaus</w:t>
      </w:r>
      <w:proofErr w:type="spellEnd"/>
      <w:r>
        <w:rPr>
          <w:rFonts w:cs="Arial"/>
          <w:b/>
          <w:szCs w:val="24"/>
        </w:rPr>
        <w:t xml:space="preserve">, Insa Tietjen, Olga Fritzsche, Dr. Carola </w:t>
      </w:r>
      <w:proofErr w:type="spellStart"/>
      <w:r>
        <w:rPr>
          <w:rFonts w:cs="Arial"/>
          <w:b/>
          <w:szCs w:val="24"/>
        </w:rPr>
        <w:t>Ensslen</w:t>
      </w:r>
      <w:proofErr w:type="spellEnd"/>
      <w:r>
        <w:rPr>
          <w:rFonts w:cs="Arial"/>
          <w:b/>
          <w:szCs w:val="24"/>
        </w:rPr>
        <w:t xml:space="preserve">, Deniz Celik, Norbert Hackbusch, Stephan </w:t>
      </w:r>
      <w:proofErr w:type="spellStart"/>
      <w:r>
        <w:rPr>
          <w:rFonts w:cs="Arial"/>
          <w:b/>
          <w:szCs w:val="24"/>
        </w:rPr>
        <w:t>Jersch</w:t>
      </w:r>
      <w:proofErr w:type="spellEnd"/>
      <w:r>
        <w:rPr>
          <w:rFonts w:cs="Arial"/>
          <w:b/>
          <w:szCs w:val="24"/>
        </w:rPr>
        <w:t xml:space="preserve">, Metin Kaya, Cansu Özdemir, David </w:t>
      </w:r>
      <w:proofErr w:type="spellStart"/>
      <w:r>
        <w:rPr>
          <w:rFonts w:cs="Arial"/>
          <w:b/>
          <w:szCs w:val="24"/>
        </w:rPr>
        <w:t>Stoop</w:t>
      </w:r>
      <w:proofErr w:type="spellEnd"/>
      <w:r>
        <w:rPr>
          <w:rFonts w:cs="Arial"/>
          <w:b/>
          <w:szCs w:val="24"/>
        </w:rPr>
        <w:t xml:space="preserve">, Heike Sudmann, und Mehmet Yildiz (Fraktion DIE </w:t>
      </w:r>
      <w:r>
        <w:rPr>
          <w:rFonts w:cs="Arial"/>
          <w:b/>
          <w:szCs w:val="24"/>
        </w:rPr>
        <w:t>LINKE)</w:t>
      </w:r>
    </w:p>
    <w:p w14:paraId="2C38F988" w14:textId="5FA78FC6" w:rsidR="00300BCC" w:rsidRDefault="003F7EB4">
      <w:pPr>
        <w:pStyle w:val="Standard1"/>
        <w:spacing w:after="120"/>
        <w:jc w:val="center"/>
      </w:pPr>
      <w:r w:rsidRPr="00A93D26">
        <w:rPr>
          <w:rFonts w:cs="Arial"/>
          <w:b/>
          <w:szCs w:val="24"/>
        </w:rPr>
        <w:t xml:space="preserve">Zu </w:t>
      </w:r>
      <w:proofErr w:type="spellStart"/>
      <w:r w:rsidRPr="00A93D26">
        <w:rPr>
          <w:rFonts w:cs="Arial"/>
          <w:b/>
          <w:szCs w:val="24"/>
        </w:rPr>
        <w:t>Drs</w:t>
      </w:r>
      <w:proofErr w:type="spellEnd"/>
      <w:r w:rsidRPr="00A93D26">
        <w:rPr>
          <w:rFonts w:cs="Arial"/>
          <w:b/>
          <w:szCs w:val="24"/>
        </w:rPr>
        <w:t>. 22/6877</w:t>
      </w:r>
      <w:r w:rsidR="009F5D7B">
        <w:rPr>
          <w:rFonts w:cs="Arial"/>
          <w:b/>
          <w:i/>
          <w:sz w:val="20"/>
        </w:rPr>
        <w:br/>
      </w:r>
    </w:p>
    <w:p w14:paraId="51BEE443" w14:textId="2A7014EC" w:rsidR="00CA6485" w:rsidRPr="00CA6485" w:rsidRDefault="009F5D7B" w:rsidP="00CA6485">
      <w:pPr>
        <w:pStyle w:val="Standard1"/>
        <w:spacing w:after="120"/>
        <w:ind w:left="851" w:hanging="85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Betr.:</w:t>
      </w:r>
      <w:r>
        <w:rPr>
          <w:rFonts w:cs="Arial"/>
          <w:b/>
          <w:szCs w:val="24"/>
        </w:rPr>
        <w:tab/>
      </w:r>
      <w:r w:rsidR="00F66576">
        <w:rPr>
          <w:rFonts w:cs="Arial"/>
          <w:b/>
          <w:szCs w:val="24"/>
        </w:rPr>
        <w:t xml:space="preserve">Politische Verantwortung übernehmen statt stipendiatischer Ablenkungsmanöver: </w:t>
      </w:r>
      <w:r w:rsidRPr="00A93D26">
        <w:rPr>
          <w:rFonts w:cs="Arial"/>
          <w:b/>
          <w:szCs w:val="24"/>
        </w:rPr>
        <w:t>Die Reformierung des BAföG ist überfällig</w:t>
      </w:r>
      <w:r w:rsidR="00CA6485">
        <w:rPr>
          <w:rFonts w:cs="Arial"/>
          <w:b/>
          <w:szCs w:val="24"/>
        </w:rPr>
        <w:t>!</w:t>
      </w:r>
    </w:p>
    <w:p w14:paraId="771D5CBA" w14:textId="16D12EDC" w:rsidR="00CA6485" w:rsidRDefault="00CA6485">
      <w:pPr>
        <w:pStyle w:val="Standard1"/>
        <w:jc w:val="both"/>
        <w:rPr>
          <w:rFonts w:eastAsia="Calibri" w:cs="Arial"/>
          <w:i/>
          <w:color w:val="000000" w:themeColor="text1"/>
          <w:sz w:val="20"/>
          <w:szCs w:val="22"/>
          <w:lang w:eastAsia="en-US"/>
        </w:rPr>
      </w:pP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Dass es um die Studienfinanzierung in der BRD schlecht bestellt </w:t>
      </w:r>
      <w:r w:rsidR="00C42B33">
        <w:rPr>
          <w:rFonts w:eastAsia="Calibri" w:cs="Arial"/>
          <w:i/>
          <w:color w:val="000000" w:themeColor="text1"/>
          <w:sz w:val="20"/>
          <w:szCs w:val="22"/>
          <w:lang w:eastAsia="en-US"/>
        </w:rPr>
        <w:t>ist, ist weder ein Geheimnis noch eine Neuigkeit. Während die Förderquoten beim BAföG seit Jahren sinken, wurden die Studierenden währen</w:t>
      </w:r>
      <w:r w:rsidR="0014080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d </w:t>
      </w:r>
      <w:r w:rsidR="00C42B33">
        <w:rPr>
          <w:rFonts w:eastAsia="Calibri" w:cs="Arial"/>
          <w:i/>
          <w:color w:val="000000" w:themeColor="text1"/>
          <w:sz w:val="20"/>
          <w:szCs w:val="22"/>
          <w:lang w:eastAsia="en-US"/>
        </w:rPr>
        <w:t>der Coronakrise</w:t>
      </w:r>
      <w:r w:rsidR="0014080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</w:t>
      </w:r>
      <w:r w:rsidR="00F6302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- </w:t>
      </w:r>
      <w:r w:rsidR="00140807">
        <w:rPr>
          <w:rFonts w:eastAsia="Calibri" w:cs="Arial"/>
          <w:i/>
          <w:color w:val="000000" w:themeColor="text1"/>
          <w:sz w:val="20"/>
          <w:szCs w:val="22"/>
          <w:lang w:eastAsia="en-US"/>
        </w:rPr>
        <w:t>auch vom Hamburger Senat</w:t>
      </w:r>
      <w:r w:rsidR="00C42B33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</w:t>
      </w:r>
      <w:r w:rsidR="00F6302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- </w:t>
      </w:r>
      <w:r w:rsidR="00140807">
        <w:rPr>
          <w:rFonts w:eastAsia="Calibri" w:cs="Arial"/>
          <w:i/>
          <w:color w:val="000000" w:themeColor="text1"/>
          <w:sz w:val="20"/>
          <w:szCs w:val="22"/>
          <w:lang w:eastAsia="en-US"/>
        </w:rPr>
        <w:t>dazu gedrängt, Schulden in Höhe von knapp zwei Milliarden Euro anzuhäufen</w:t>
      </w:r>
      <w:r w:rsidR="00140807">
        <w:rPr>
          <w:rStyle w:val="Funotenzeichen"/>
          <w:rFonts w:eastAsia="Calibri" w:cs="Arial"/>
          <w:i/>
          <w:color w:val="000000" w:themeColor="text1"/>
          <w:sz w:val="20"/>
          <w:szCs w:val="22"/>
          <w:lang w:eastAsia="en-US"/>
        </w:rPr>
        <w:footnoteReference w:id="1"/>
      </w:r>
      <w:r w:rsidR="0014080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. </w:t>
      </w:r>
      <w:r w:rsidR="00F6302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Dabei lebte schon vor der Pandemie </w:t>
      </w:r>
      <w:proofErr w:type="spellStart"/>
      <w:proofErr w:type="gramStart"/>
      <w:r w:rsidR="00F63027">
        <w:rPr>
          <w:rFonts w:eastAsia="Calibri" w:cs="Arial"/>
          <w:i/>
          <w:color w:val="000000" w:themeColor="text1"/>
          <w:sz w:val="20"/>
          <w:szCs w:val="22"/>
          <w:lang w:eastAsia="en-US"/>
        </w:rPr>
        <w:t>jede:r</w:t>
      </w:r>
      <w:proofErr w:type="spellEnd"/>
      <w:proofErr w:type="gramEnd"/>
      <w:r w:rsidR="00F6302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zweite Hamburger Studierende unterhalb der Armutsgrenze</w:t>
      </w:r>
      <w:r w:rsidR="00B04E08">
        <w:rPr>
          <w:rStyle w:val="Funotenzeichen"/>
          <w:rFonts w:eastAsia="Calibri" w:cs="Arial"/>
          <w:i/>
          <w:color w:val="000000" w:themeColor="text1"/>
          <w:sz w:val="20"/>
          <w:szCs w:val="22"/>
          <w:lang w:eastAsia="en-US"/>
        </w:rPr>
        <w:footnoteReference w:id="2"/>
      </w:r>
      <w:r w:rsidR="00D236F1">
        <w:rPr>
          <w:rFonts w:eastAsia="Calibri" w:cs="Arial"/>
          <w:i/>
          <w:color w:val="000000" w:themeColor="text1"/>
          <w:sz w:val="20"/>
          <w:szCs w:val="22"/>
          <w:lang w:eastAsia="en-US"/>
        </w:rPr>
        <w:t>.</w:t>
      </w:r>
    </w:p>
    <w:p w14:paraId="6F81CBD9" w14:textId="7B9A159D" w:rsidR="00300BCC" w:rsidRDefault="009F5D7B">
      <w:pPr>
        <w:pStyle w:val="Standard1"/>
        <w:jc w:val="both"/>
        <w:rPr>
          <w:rFonts w:eastAsia="Calibri" w:cs="Arial"/>
          <w:i/>
          <w:color w:val="000000" w:themeColor="text1"/>
          <w:sz w:val="20"/>
          <w:szCs w:val="22"/>
          <w:lang w:eastAsia="en-US"/>
        </w:rPr>
      </w:pP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1971 </w:t>
      </w:r>
      <w:r w:rsidR="006C6FD1">
        <w:rPr>
          <w:rFonts w:eastAsia="Calibri" w:cs="Arial"/>
          <w:i/>
          <w:color w:val="000000" w:themeColor="text1"/>
          <w:sz w:val="20"/>
          <w:szCs w:val="22"/>
          <w:lang w:eastAsia="en-US"/>
        </w:rPr>
        <w:t>mit dem</w:t>
      </w: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Z</w:t>
      </w: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>iel d</w:t>
      </w:r>
      <w:r w:rsidR="006C6FD1">
        <w:rPr>
          <w:rFonts w:eastAsia="Calibri" w:cs="Arial"/>
          <w:i/>
          <w:color w:val="000000" w:themeColor="text1"/>
          <w:sz w:val="20"/>
          <w:szCs w:val="22"/>
          <w:lang w:eastAsia="en-US"/>
        </w:rPr>
        <w:t>er</w:t>
      </w: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Chancengleichheit beim Hochschulzugang</w:t>
      </w:r>
      <w:r w:rsidR="006C6FD1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, unabhängig vom Einkommen des eigenen Haushalts, eingeführt, sieht die </w:t>
      </w: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>Realität</w:t>
      </w:r>
      <w:r w:rsidR="006C6FD1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des </w:t>
      </w:r>
      <w:proofErr w:type="spellStart"/>
      <w:r w:rsidR="006C6FD1">
        <w:rPr>
          <w:rFonts w:eastAsia="Calibri" w:cs="Arial"/>
          <w:i/>
          <w:color w:val="000000" w:themeColor="text1"/>
          <w:sz w:val="20"/>
          <w:szCs w:val="22"/>
          <w:lang w:eastAsia="en-US"/>
        </w:rPr>
        <w:t>BAföGs</w:t>
      </w:r>
      <w:proofErr w:type="spellEnd"/>
      <w:r w:rsidR="006C6FD1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heute </w:t>
      </w: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jedoch </w:t>
      </w:r>
      <w:r w:rsidR="006C6FD1">
        <w:rPr>
          <w:rFonts w:eastAsia="Calibri" w:cs="Arial"/>
          <w:i/>
          <w:color w:val="000000" w:themeColor="text1"/>
          <w:sz w:val="20"/>
          <w:szCs w:val="22"/>
          <w:lang w:eastAsia="en-US"/>
        </w:rPr>
        <w:t>überwiegend</w:t>
      </w: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anders aus.</w:t>
      </w:r>
    </w:p>
    <w:p w14:paraId="5B517E32" w14:textId="755E3F72" w:rsidR="00F70395" w:rsidRDefault="009F5D7B" w:rsidP="00D236F1">
      <w:pPr>
        <w:pStyle w:val="Standard1"/>
        <w:jc w:val="both"/>
        <w:rPr>
          <w:rFonts w:eastAsia="Calibri" w:cs="Arial"/>
          <w:i/>
          <w:color w:val="000000" w:themeColor="text1"/>
          <w:sz w:val="20"/>
          <w:szCs w:val="22"/>
          <w:lang w:eastAsia="en-US"/>
        </w:rPr>
      </w:pP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Von 1991 bis 2020 sank die Zahl der geförderten </w:t>
      </w:r>
      <w:proofErr w:type="spellStart"/>
      <w:proofErr w:type="gramStart"/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>Schüler:innen</w:t>
      </w:r>
      <w:proofErr w:type="spellEnd"/>
      <w:proofErr w:type="gramEnd"/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und Studierenden von ca. 870.000 auf ca. 638.000</w:t>
      </w:r>
      <w:r w:rsidR="00675B05">
        <w:rPr>
          <w:rStyle w:val="Funotenzeichen"/>
          <w:rFonts w:eastAsia="Calibri" w:cs="Arial"/>
          <w:i/>
          <w:color w:val="000000" w:themeColor="text1"/>
          <w:sz w:val="20"/>
          <w:szCs w:val="22"/>
          <w:lang w:eastAsia="en-US"/>
        </w:rPr>
        <w:footnoteReference w:id="3"/>
      </w:r>
      <w:r w:rsidR="00675B05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</w:t>
      </w: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>im Kontrast dazu steht allein die Zunahme der Studierenden im selben Zeitraum von 1.775.661 auf 2.944.145</w:t>
      </w:r>
      <w:r w:rsidR="00675B05">
        <w:rPr>
          <w:rStyle w:val="Funotenzeichen"/>
          <w:rFonts w:eastAsia="Calibri" w:cs="Arial"/>
          <w:i/>
          <w:color w:val="000000" w:themeColor="text1"/>
          <w:sz w:val="20"/>
          <w:szCs w:val="22"/>
          <w:lang w:eastAsia="en-US"/>
        </w:rPr>
        <w:footnoteReference w:id="4"/>
      </w:r>
      <w:r w:rsidR="00675B05">
        <w:rPr>
          <w:rFonts w:eastAsia="Calibri" w:cs="Arial"/>
          <w:i/>
          <w:color w:val="000000" w:themeColor="text1"/>
          <w:sz w:val="20"/>
          <w:szCs w:val="22"/>
          <w:lang w:eastAsia="en-US"/>
        </w:rPr>
        <w:t>.</w:t>
      </w:r>
      <w:r w:rsidR="006C6FD1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Die niedrige Förderquote </w:t>
      </w:r>
      <w:r w:rsidR="00D236F1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sind dabei nicht das Ergebnis </w:t>
      </w:r>
      <w:r w:rsidR="00D236F1" w:rsidRP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>einer Uninformiertheit</w:t>
      </w:r>
      <w:r w:rsidR="00F70395" w:rsidRP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der </w:t>
      </w:r>
      <w:r w:rsidR="00D236F1" w:rsidRP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>Zielgruppe</w:t>
      </w:r>
      <w:r w:rsidR="00F66576" w:rsidRP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>,</w:t>
      </w:r>
      <w:r w:rsidR="00F70395" w:rsidRP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sondern Ergebnis einer unsozialen Politik, die das BAföG </w:t>
      </w:r>
      <w:r w:rsidR="00F66576" w:rsidRP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>entkernt</w:t>
      </w:r>
      <w:r w:rsidR="00F70395" w:rsidRP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hat, indem es </w:t>
      </w:r>
      <w:r w:rsidR="005F0A84" w:rsidRP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>vom Vollzuschuss zu einem Kredit umgewandelt wurde</w:t>
      </w:r>
      <w:r w:rsidR="00C14DC1">
        <w:rPr>
          <w:rFonts w:eastAsia="Calibri" w:cs="Arial"/>
          <w:i/>
          <w:color w:val="000000" w:themeColor="text1"/>
          <w:sz w:val="20"/>
          <w:szCs w:val="22"/>
          <w:lang w:eastAsia="en-US"/>
        </w:rPr>
        <w:t>.</w:t>
      </w:r>
      <w:r w:rsid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</w:t>
      </w:r>
      <w:r w:rsidR="00C14DC1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Die Sozialerhebung zeigt seit Jahren deutlich, dass die Gründe für die niedrige Quote konkret </w:t>
      </w:r>
      <w:r w:rsidR="00832284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an der Kopplung an die sogenannte „Regelstudienzeit“, an </w:t>
      </w:r>
      <w:r w:rsidR="002D35F2">
        <w:rPr>
          <w:rFonts w:eastAsia="Calibri" w:cs="Arial"/>
          <w:i/>
          <w:color w:val="000000" w:themeColor="text1"/>
          <w:sz w:val="20"/>
          <w:szCs w:val="22"/>
          <w:lang w:eastAsia="en-US"/>
        </w:rPr>
        <w:t>Bemessung</w:t>
      </w:r>
      <w:r w:rsidR="00832284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sgrenzen des Einkommens von Eltern oder </w:t>
      </w:r>
      <w:proofErr w:type="spellStart"/>
      <w:proofErr w:type="gramStart"/>
      <w:r w:rsidR="00832284">
        <w:rPr>
          <w:rFonts w:eastAsia="Calibri" w:cs="Arial"/>
          <w:i/>
          <w:color w:val="000000" w:themeColor="text1"/>
          <w:sz w:val="20"/>
          <w:szCs w:val="22"/>
          <w:lang w:eastAsia="en-US"/>
        </w:rPr>
        <w:t>Ehepartner:innen</w:t>
      </w:r>
      <w:proofErr w:type="spellEnd"/>
      <w:proofErr w:type="gramEnd"/>
      <w:r w:rsidR="00832284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, an den </w:t>
      </w:r>
      <w:r w:rsidR="002D35F2">
        <w:rPr>
          <w:rFonts w:eastAsia="Calibri" w:cs="Arial"/>
          <w:i/>
          <w:color w:val="000000" w:themeColor="text1"/>
          <w:sz w:val="20"/>
          <w:szCs w:val="22"/>
          <w:lang w:eastAsia="en-US"/>
        </w:rPr>
        <w:t>restriktiven</w:t>
      </w:r>
      <w:r w:rsidR="00832284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Regelungen des BAföG (z.B. Studienfachwechsel) und der Angst vor der Verschuldung </w:t>
      </w:r>
      <w:r w:rsid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>hängen. Letztere</w:t>
      </w:r>
      <w:r w:rsidR="00FD6B57" w:rsidRPr="00FD6B57">
        <w:t xml:space="preserve"> </w:t>
      </w:r>
      <w:r w:rsidR="00FD6B57" w:rsidRP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>ist dabei ein wesentlicher Faktor dafür,</w:t>
      </w:r>
      <w:r w:rsid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dass</w:t>
      </w:r>
      <w:r w:rsidR="00FD6B57" w:rsidRP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</w:t>
      </w:r>
      <w:r w:rsid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insbesondere </w:t>
      </w:r>
      <w:r w:rsidR="00FD6B57" w:rsidRP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Personen, die nicht aus </w:t>
      </w:r>
      <w:proofErr w:type="spellStart"/>
      <w:proofErr w:type="gramStart"/>
      <w:r w:rsidR="00FD6B57" w:rsidRP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>Akademiker:innenfamilien</w:t>
      </w:r>
      <w:proofErr w:type="spellEnd"/>
      <w:proofErr w:type="gramEnd"/>
      <w:r w:rsidR="00FD6B57" w:rsidRP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stammen </w:t>
      </w:r>
      <w:r w:rsid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>keinen Antrag auf Förderung stellen, obwohl sie</w:t>
      </w:r>
      <w:r w:rsidR="00FD6B57" w:rsidRP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dem Grunde nach BAföG-</w:t>
      </w:r>
      <w:r w:rsid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>b</w:t>
      </w:r>
      <w:r w:rsidR="00FD6B57" w:rsidRP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>erechtigt</w:t>
      </w:r>
      <w:r w:rsid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sind</w:t>
      </w:r>
      <w:r w:rsidR="00FD6B57">
        <w:rPr>
          <w:rStyle w:val="Funotenzeichen"/>
          <w:rFonts w:eastAsia="Calibri" w:cs="Arial"/>
          <w:i/>
          <w:color w:val="000000" w:themeColor="text1"/>
          <w:sz w:val="20"/>
          <w:szCs w:val="22"/>
          <w:lang w:eastAsia="en-US"/>
        </w:rPr>
        <w:footnoteReference w:id="5"/>
      </w:r>
      <w:r w:rsidR="00FD6B57">
        <w:rPr>
          <w:rFonts w:eastAsia="Calibri" w:cs="Arial"/>
          <w:i/>
          <w:color w:val="000000" w:themeColor="text1"/>
          <w:sz w:val="20"/>
          <w:szCs w:val="22"/>
          <w:lang w:eastAsia="en-US"/>
        </w:rPr>
        <w:t>.</w:t>
      </w:r>
    </w:p>
    <w:p w14:paraId="7A025FF8" w14:textId="1ACA12E7" w:rsidR="00FD6B57" w:rsidRDefault="005425E1">
      <w:pPr>
        <w:pStyle w:val="Standard1"/>
        <w:jc w:val="both"/>
        <w:rPr>
          <w:rFonts w:eastAsia="Calibri" w:cs="Arial"/>
          <w:i/>
          <w:color w:val="000000" w:themeColor="text1"/>
          <w:sz w:val="20"/>
          <w:szCs w:val="22"/>
          <w:lang w:eastAsia="en-US"/>
        </w:rPr>
      </w:pP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lastRenderedPageBreak/>
        <w:t xml:space="preserve">Stipendien spielen bei der Studienfinanzierung eine randständige Bedeutung. Gerade einmal vier Prozent der Studierenden bundesweit beziehen derartige Fördermittel. </w:t>
      </w:r>
      <w:r w:rsidR="007F708F">
        <w:rPr>
          <w:rFonts w:eastAsia="Calibri" w:cs="Arial"/>
          <w:i/>
          <w:color w:val="000000" w:themeColor="text1"/>
          <w:sz w:val="20"/>
          <w:szCs w:val="22"/>
          <w:lang w:eastAsia="en-US"/>
        </w:rPr>
        <w:t>Ein Fünftel</w:t>
      </w: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von ihnen erhält dabei das sog. Deutschlandstipendium, was mit einer Förderhöhe von 300 Euro monatlich </w:t>
      </w:r>
      <w:r w:rsidR="007F708F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nie dafür konzipiert war, relevanten Lebensbedarf von Studierenden zu decken. Der überwiegende Teil der </w:t>
      </w:r>
      <w:proofErr w:type="spellStart"/>
      <w:proofErr w:type="gramStart"/>
      <w:r w:rsidR="007F708F">
        <w:rPr>
          <w:rFonts w:eastAsia="Calibri" w:cs="Arial"/>
          <w:i/>
          <w:color w:val="000000" w:themeColor="text1"/>
          <w:sz w:val="20"/>
          <w:szCs w:val="22"/>
          <w:lang w:eastAsia="en-US"/>
        </w:rPr>
        <w:t>Stipendiat:innen</w:t>
      </w:r>
      <w:proofErr w:type="spellEnd"/>
      <w:proofErr w:type="gramEnd"/>
      <w:r w:rsidR="007F708F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erhält die Förderung von einem der Begabtenförderwerke</w:t>
      </w:r>
      <w:r w:rsidR="003A6349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. Hier richtet sich die Bemessung der Förderhöhe allerdings auch nach den Richtlinien des BAföG, wenngleich diese Förderung zumindest nicht zurückgezahlt werden muss und durch eine Studienkostenpauschale aufgestockt wird. </w:t>
      </w:r>
      <w:r w:rsidR="00464920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Stiftungen und Stipendien sind nicht die Antwort auf die massiven Probleme, die es bei der Studienfinanzierung in Hamburg </w:t>
      </w:r>
      <w:r w:rsidR="00521E6D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- </w:t>
      </w:r>
      <w:r w:rsidR="00464920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und darüber </w:t>
      </w:r>
      <w:proofErr w:type="gramStart"/>
      <w:r w:rsidR="00464920">
        <w:rPr>
          <w:rFonts w:eastAsia="Calibri" w:cs="Arial"/>
          <w:i/>
          <w:color w:val="000000" w:themeColor="text1"/>
          <w:sz w:val="20"/>
          <w:szCs w:val="22"/>
          <w:lang w:eastAsia="en-US"/>
        </w:rPr>
        <w:t>hinaus gibt</w:t>
      </w:r>
      <w:proofErr w:type="gramEnd"/>
      <w:r w:rsidR="00464920">
        <w:rPr>
          <w:rFonts w:eastAsia="Calibri" w:cs="Arial"/>
          <w:i/>
          <w:color w:val="000000" w:themeColor="text1"/>
          <w:sz w:val="20"/>
          <w:szCs w:val="22"/>
          <w:lang w:eastAsia="en-US"/>
        </w:rPr>
        <w:t>.</w:t>
      </w:r>
      <w:r w:rsidR="00205508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Weder reicht die Anzahl der Stipendien </w:t>
      </w:r>
      <w:r w:rsidR="002E5F8C">
        <w:rPr>
          <w:rFonts w:eastAsia="Calibri" w:cs="Arial"/>
          <w:i/>
          <w:color w:val="000000" w:themeColor="text1"/>
          <w:sz w:val="20"/>
          <w:szCs w:val="22"/>
          <w:lang w:eastAsia="en-US"/>
        </w:rPr>
        <w:t>aus,</w:t>
      </w:r>
      <w:r w:rsidR="00205508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um diejenigen in Armut zu fördern, noch ist die Mittelvergabe dazu in der Lage</w:t>
      </w:r>
      <w:r w:rsidR="00521E6D">
        <w:rPr>
          <w:rFonts w:eastAsia="Calibri" w:cs="Arial"/>
          <w:i/>
          <w:color w:val="000000" w:themeColor="text1"/>
          <w:sz w:val="20"/>
          <w:szCs w:val="22"/>
          <w:lang w:eastAsia="en-US"/>
        </w:rPr>
        <w:t>,</w:t>
      </w:r>
      <w:r w:rsidR="00205508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die Probleme des </w:t>
      </w:r>
      <w:proofErr w:type="spellStart"/>
      <w:r w:rsidR="00205508">
        <w:rPr>
          <w:rFonts w:eastAsia="Calibri" w:cs="Arial"/>
          <w:i/>
          <w:color w:val="000000" w:themeColor="text1"/>
          <w:sz w:val="20"/>
          <w:szCs w:val="22"/>
          <w:lang w:eastAsia="en-US"/>
        </w:rPr>
        <w:t>BAföGs</w:t>
      </w:r>
      <w:proofErr w:type="spellEnd"/>
      <w:r w:rsidR="00205508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auszugleichen, noch ist es ein echter Beitrag zur Bildungsgerechtigkeit, bei der Studienfinanzierung auf Stipendien zu fokussieren. Ehrenamtliches Engagemen</w:t>
      </w:r>
      <w:r w:rsidR="002E5F8C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t, </w:t>
      </w:r>
      <w:r w:rsidR="00205508">
        <w:rPr>
          <w:rFonts w:eastAsia="Calibri" w:cs="Arial"/>
          <w:i/>
          <w:color w:val="000000" w:themeColor="text1"/>
          <w:sz w:val="20"/>
          <w:szCs w:val="22"/>
          <w:lang w:eastAsia="en-US"/>
        </w:rPr>
        <w:t>gute Schulnoten</w:t>
      </w:r>
      <w:r w:rsidR="007C63AC">
        <w:rPr>
          <w:rStyle w:val="Funotenzeichen"/>
          <w:rFonts w:eastAsia="Calibri" w:cs="Arial"/>
          <w:i/>
          <w:color w:val="000000" w:themeColor="text1"/>
          <w:sz w:val="20"/>
          <w:szCs w:val="22"/>
          <w:lang w:eastAsia="en-US"/>
        </w:rPr>
        <w:footnoteReference w:id="6"/>
      </w:r>
      <w:r w:rsidR="00205508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</w:t>
      </w:r>
      <w:r w:rsidR="002E5F8C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oder bestimmte Fähigkeiten hängen im </w:t>
      </w:r>
      <w:r w:rsidR="00E63E25">
        <w:rPr>
          <w:rFonts w:eastAsia="Calibri" w:cs="Arial"/>
          <w:i/>
          <w:color w:val="000000" w:themeColor="text1"/>
          <w:sz w:val="20"/>
          <w:szCs w:val="22"/>
          <w:lang w:eastAsia="en-US"/>
        </w:rPr>
        <w:t>h</w:t>
      </w:r>
      <w:r w:rsidR="002E5F8C">
        <w:rPr>
          <w:rFonts w:eastAsia="Calibri" w:cs="Arial"/>
          <w:i/>
          <w:color w:val="000000" w:themeColor="text1"/>
          <w:sz w:val="20"/>
          <w:szCs w:val="22"/>
          <w:lang w:eastAsia="en-US"/>
        </w:rPr>
        <w:t>ohen Maß vom Elternhaus bzw. der Förderung in der Kindheit ab. Die sozioökonomische Ungleichheit wird durch Begabtenförderwerke also nicht abgebaut, sondern systematisch verschärft.</w:t>
      </w:r>
    </w:p>
    <w:p w14:paraId="3AB35108" w14:textId="78A1F940" w:rsidR="00E63E25" w:rsidRDefault="00E63E25">
      <w:pPr>
        <w:pStyle w:val="Standard1"/>
        <w:jc w:val="both"/>
        <w:rPr>
          <w:rFonts w:eastAsia="Calibri" w:cs="Arial"/>
          <w:i/>
          <w:color w:val="000000" w:themeColor="text1"/>
          <w:sz w:val="20"/>
          <w:szCs w:val="22"/>
          <w:lang w:eastAsia="en-US"/>
        </w:rPr>
      </w:pPr>
      <w:r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Für echte Bildungsgerechtigkeit </w:t>
      </w:r>
      <w:r w:rsidR="00CC09B9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baucht es nicht nur Informationen, sondern viel mehr eine substanzielle </w:t>
      </w:r>
      <w:r w:rsidR="002D35F2">
        <w:rPr>
          <w:rFonts w:eastAsia="Calibri" w:cs="Arial"/>
          <w:i/>
          <w:color w:val="000000" w:themeColor="text1"/>
          <w:sz w:val="20"/>
          <w:szCs w:val="22"/>
          <w:lang w:eastAsia="en-US"/>
        </w:rPr>
        <w:t>Reform</w:t>
      </w:r>
      <w:r w:rsidR="00CC09B9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des BAföG, um es wieder zu dem zentralen Instrument der Studienfinanzierung zu machen, </w:t>
      </w:r>
      <w:proofErr w:type="gramStart"/>
      <w:r w:rsidR="00CC09B9">
        <w:rPr>
          <w:rFonts w:eastAsia="Calibri" w:cs="Arial"/>
          <w:i/>
          <w:color w:val="000000" w:themeColor="text1"/>
          <w:sz w:val="20"/>
          <w:szCs w:val="22"/>
          <w:lang w:eastAsia="en-US"/>
        </w:rPr>
        <w:t>das</w:t>
      </w:r>
      <w:proofErr w:type="gramEnd"/>
      <w:r w:rsidR="00CC09B9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für alle zugänglich ist, die sich Bildung erarbeiten wollen. Ein BAföG für alle, das zum Leben reicht und nicht an 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>Restriktionen</w:t>
      </w:r>
      <w:r w:rsidR="00CC09B9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gebunden ist, gibt allen Studierenden die Möglichkeit, 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sich gesellschaftlich zu engagieren. 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>Aus diesen Gründen ist es unabdingbar</w:t>
      </w:r>
      <w:r w:rsidR="00521E6D">
        <w:rPr>
          <w:rFonts w:eastAsia="Calibri" w:cs="Arial"/>
          <w:i/>
          <w:color w:val="000000" w:themeColor="text1"/>
          <w:sz w:val="20"/>
          <w:szCs w:val="22"/>
          <w:lang w:eastAsia="en-US"/>
        </w:rPr>
        <w:t>,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das BAföG endlich zu reformieren. Für echte Bildungsgerechtigkeit brauchen wir eine kompromiss- und bedingungslose Finanzierung.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Die neue Bildungsministerin hat nach den dramatischen Zahlen aus dem BAföG</w:t>
      </w:r>
      <w:r w:rsidR="002D35F2">
        <w:rPr>
          <w:rFonts w:eastAsia="Calibri" w:cs="Arial"/>
          <w:i/>
          <w:color w:val="000000" w:themeColor="text1"/>
          <w:sz w:val="20"/>
          <w:szCs w:val="22"/>
          <w:lang w:eastAsia="en-US"/>
        </w:rPr>
        <w:t>-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>Bericht der Bunde</w:t>
      </w:r>
      <w:r w:rsidR="00521E6D">
        <w:rPr>
          <w:rFonts w:eastAsia="Calibri" w:cs="Arial"/>
          <w:i/>
          <w:color w:val="000000" w:themeColor="text1"/>
          <w:sz w:val="20"/>
          <w:szCs w:val="22"/>
          <w:lang w:eastAsia="en-US"/>
        </w:rPr>
        <w:t>s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regierung </w:t>
      </w:r>
      <w:r w:rsidR="002D35F2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bereits 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>angekündigt, eine BAföG-Novelle auf den Weg bringen zu wollen</w:t>
      </w:r>
      <w:r w:rsidR="002D35F2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. Deshalb ist dies der geeignete Zeitpunkt, 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aus unseren Hamburger Erfahrungen heraus </w:t>
      </w:r>
      <w:r w:rsidR="002D35F2">
        <w:rPr>
          <w:rFonts w:eastAsia="Calibri" w:cs="Arial"/>
          <w:i/>
          <w:color w:val="000000" w:themeColor="text1"/>
          <w:sz w:val="20"/>
          <w:szCs w:val="22"/>
          <w:lang w:eastAsia="en-US"/>
        </w:rPr>
        <w:t>eine</w:t>
      </w:r>
      <w:r w:rsidR="00405BC3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 Bundesratsinitiative </w:t>
      </w:r>
      <w:r w:rsidR="002D35F2">
        <w:rPr>
          <w:rFonts w:eastAsia="Calibri" w:cs="Arial"/>
          <w:i/>
          <w:color w:val="000000" w:themeColor="text1"/>
          <w:sz w:val="20"/>
          <w:szCs w:val="22"/>
          <w:lang w:eastAsia="en-US"/>
        </w:rPr>
        <w:t xml:space="preserve">auf den Weg zu bringen, die deutlich macht, welche grundlegenden Änderungen es Bedarf, um Bildung endlich vom Elternhaus und von der eigenen </w:t>
      </w:r>
      <w:r w:rsidR="006D27A6">
        <w:rPr>
          <w:rFonts w:eastAsia="Calibri" w:cs="Arial"/>
          <w:i/>
          <w:color w:val="000000" w:themeColor="text1"/>
          <w:sz w:val="20"/>
          <w:szCs w:val="22"/>
          <w:lang w:eastAsia="en-US"/>
        </w:rPr>
        <w:t>finanziellen Lage zu entkoppeln.</w:t>
      </w:r>
    </w:p>
    <w:p w14:paraId="27808561" w14:textId="77777777" w:rsidR="00300BCC" w:rsidRDefault="00300BCC">
      <w:pPr>
        <w:pStyle w:val="Standard1"/>
        <w:jc w:val="both"/>
        <w:rPr>
          <w:rFonts w:eastAsia="Calibri" w:cs="Arial"/>
          <w:i/>
          <w:color w:val="FF0000"/>
          <w:sz w:val="20"/>
          <w:szCs w:val="22"/>
          <w:lang w:eastAsia="en-US"/>
        </w:rPr>
      </w:pPr>
    </w:p>
    <w:p w14:paraId="0889A16D" w14:textId="77777777" w:rsidR="00300BCC" w:rsidRDefault="009F5D7B">
      <w:pPr>
        <w:pStyle w:val="Standard1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Die Bürgerschaft möge beschließen:</w:t>
      </w:r>
    </w:p>
    <w:p w14:paraId="23027524" w14:textId="77777777" w:rsidR="00300BCC" w:rsidRDefault="009F5D7B">
      <w:pPr>
        <w:pStyle w:val="Standard1"/>
        <w:spacing w:after="120"/>
        <w:jc w:val="both"/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</w:rPr>
        <w:t>Der Senat wird aufgefordert,</w:t>
      </w:r>
    </w:p>
    <w:p w14:paraId="3054B5CE" w14:textId="77777777" w:rsidR="00300BCC" w:rsidRDefault="009F5D7B">
      <w:pPr>
        <w:pStyle w:val="Standard1"/>
        <w:numPr>
          <w:ilvl w:val="0"/>
          <w:numId w:val="1"/>
        </w:numPr>
        <w:spacing w:after="120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Im Bundesrat einen Gesetzentwurf einzubringen, mit dem das Bundesausbildungsförderungsgesetz spätestens zum Beginn des </w:t>
      </w:r>
      <w:r>
        <w:rPr>
          <w:rFonts w:cs="Arial"/>
          <w:sz w:val="25"/>
          <w:szCs w:val="25"/>
        </w:rPr>
        <w:t>Sommersemesters 2022 in den folgenden Aspekten überarbeitet wird:</w:t>
      </w:r>
    </w:p>
    <w:p w14:paraId="3CCF5D81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das BAföG muss rückzahlungsfrei, sowie elternunabhängig ausgezahlt werden</w:t>
      </w:r>
    </w:p>
    <w:p w14:paraId="7A42E425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lastRenderedPageBreak/>
        <w:t xml:space="preserve">die Bedarfssätze im BAföG müssen so erhöht werden, dass sie sowohl die Lebenshaltungskosten als auch die Kosten der </w:t>
      </w:r>
      <w:r>
        <w:rPr>
          <w:rFonts w:cs="Arial"/>
          <w:color w:val="000000" w:themeColor="text1"/>
          <w:sz w:val="25"/>
          <w:szCs w:val="25"/>
        </w:rPr>
        <w:t>Ausbildung existenzsichernd decken</w:t>
      </w:r>
    </w:p>
    <w:p w14:paraId="733747D0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jährlich eine regelmäßige und automatische Anpassung der Bedarfssätze und Freibeträge vor dem Hintergrund der tatsächlichen Preis- und Einkommensentwicklung</w:t>
      </w:r>
    </w:p>
    <w:p w14:paraId="2ACAF7D1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 xml:space="preserve">eine Evaluation und Anpassung der Wohnkostenpauschale mit Blick </w:t>
      </w:r>
      <w:r>
        <w:rPr>
          <w:rFonts w:cs="Arial"/>
          <w:color w:val="000000" w:themeColor="text1"/>
          <w:sz w:val="25"/>
          <w:szCs w:val="25"/>
        </w:rPr>
        <w:t>auf die stark steigenden Mietpreise</w:t>
      </w:r>
    </w:p>
    <w:p w14:paraId="4791CD24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einen deutlichen Ausbau von Wohnheimplätzen zu fördern, welche im Mietpreis an die Wohnkostenpauschale als Obergrenze gebunden sind</w:t>
      </w:r>
    </w:p>
    <w:p w14:paraId="3F77AB1B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die Altersgrenze des BAföG muss abgeschafft werden</w:t>
      </w:r>
    </w:p>
    <w:p w14:paraId="6CEBFA28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die Förderungshöchstdauer des BAföG m</w:t>
      </w:r>
      <w:r>
        <w:rPr>
          <w:rFonts w:cs="Arial"/>
          <w:color w:val="000000" w:themeColor="text1"/>
          <w:sz w:val="25"/>
          <w:szCs w:val="25"/>
        </w:rPr>
        <w:t>uss durch zwei zusätzliche Semester über die Regelstudienzeit hinaus an die reale durchschnittliche Studiendauer angepasst werden</w:t>
      </w:r>
    </w:p>
    <w:p w14:paraId="33E8B815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die Kopplung an Leistungsüberprüfungen muss abgeschafft werden</w:t>
      </w:r>
    </w:p>
    <w:p w14:paraId="01EAD8AC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eine stärkere Berücksichtigung von ehrenamtlichem Engagement, Studium mit Schwangerschaft und/oder Kind(</w:t>
      </w:r>
      <w:proofErr w:type="spellStart"/>
      <w:r>
        <w:rPr>
          <w:rFonts w:cs="Arial"/>
          <w:color w:val="000000" w:themeColor="text1"/>
          <w:sz w:val="25"/>
          <w:szCs w:val="25"/>
        </w:rPr>
        <w:t>ern</w:t>
      </w:r>
      <w:proofErr w:type="spellEnd"/>
      <w:r>
        <w:rPr>
          <w:rFonts w:cs="Arial"/>
          <w:color w:val="000000" w:themeColor="text1"/>
          <w:sz w:val="25"/>
          <w:szCs w:val="25"/>
        </w:rPr>
        <w:t>), Studium und Pflege der Angehörigen, Studium mit chronischer Krankheit sowie die Öffnung des BAföG für Teilzeitstudierende</w:t>
      </w:r>
    </w:p>
    <w:p w14:paraId="2986E633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Menschen mit Duldung, Au</w:t>
      </w:r>
      <w:r>
        <w:rPr>
          <w:rFonts w:cs="Arial"/>
          <w:color w:val="000000" w:themeColor="text1"/>
          <w:sz w:val="25"/>
          <w:szCs w:val="25"/>
        </w:rPr>
        <w:t>fenthaltsgestattung und mit humanitären Aufenthaltstiteln müssen mit Beginn des Studiums, Ausbildung und/oder der Schullaufbahn eine Zugangsberechtigung zum BAföG erhalten</w:t>
      </w:r>
    </w:p>
    <w:p w14:paraId="3739F059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nach einem Fachrichtungswechsel ohne wichtigen oder unabweisbaren Grund im Bachelors</w:t>
      </w:r>
      <w:r>
        <w:rPr>
          <w:rFonts w:cs="Arial"/>
          <w:color w:val="000000" w:themeColor="text1"/>
          <w:sz w:val="25"/>
          <w:szCs w:val="25"/>
        </w:rPr>
        <w:t>tudium muss nach erfolgreichem Abschluss des Bachelors Ausbildungsförderung für ein darauf aufbauendes Masterstudium ermöglicht werden</w:t>
      </w:r>
    </w:p>
    <w:p w14:paraId="44C64B31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ein Zweitstudium bzw. Folgestudium muss förderungsfähig werden</w:t>
      </w:r>
    </w:p>
    <w:p w14:paraId="063F6DDF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lastRenderedPageBreak/>
        <w:t>ein Zusatzfreibetrag zur Deckung besonderer Kosten der Aus</w:t>
      </w:r>
      <w:r>
        <w:rPr>
          <w:rFonts w:cs="Arial"/>
          <w:color w:val="000000" w:themeColor="text1"/>
          <w:sz w:val="25"/>
          <w:szCs w:val="25"/>
        </w:rPr>
        <w:t>bildung muss in § 23 Absatz 5 BAföG auch für Vergütungen aus einem Ausbildungsverhältnis nach § 23 Absatz 3 BAföG ermöglicht werden.</w:t>
      </w:r>
    </w:p>
    <w:p w14:paraId="4A66BA09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>d</w:t>
      </w:r>
      <w:r>
        <w:rPr>
          <w:rFonts w:cs="Arial"/>
          <w:color w:val="000000" w:themeColor="text1"/>
          <w:sz w:val="25"/>
          <w:szCs w:val="25"/>
        </w:rPr>
        <w:t xml:space="preserve">as Antragsverfahren muss </w:t>
      </w:r>
      <w:r>
        <w:rPr>
          <w:rFonts w:cs="Arial"/>
          <w:color w:val="000000" w:themeColor="text1"/>
          <w:sz w:val="25"/>
          <w:szCs w:val="25"/>
        </w:rPr>
        <w:t>entbürokratisiert</w:t>
      </w:r>
      <w:r>
        <w:rPr>
          <w:rFonts w:cs="Arial"/>
          <w:color w:val="000000" w:themeColor="text1"/>
          <w:sz w:val="25"/>
          <w:szCs w:val="25"/>
        </w:rPr>
        <w:t xml:space="preserve"> und digitalisiert werden</w:t>
      </w:r>
    </w:p>
    <w:p w14:paraId="61FBC3AF" w14:textId="77777777" w:rsidR="00300BCC" w:rsidRDefault="009F5D7B">
      <w:pPr>
        <w:pStyle w:val="Standard1"/>
        <w:numPr>
          <w:ilvl w:val="1"/>
          <w:numId w:val="1"/>
        </w:numPr>
        <w:spacing w:after="120"/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 xml:space="preserve">es </w:t>
      </w:r>
      <w:proofErr w:type="spellStart"/>
      <w:r>
        <w:rPr>
          <w:rFonts w:cs="Arial"/>
          <w:color w:val="000000" w:themeColor="text1"/>
          <w:sz w:val="25"/>
          <w:szCs w:val="25"/>
        </w:rPr>
        <w:t>Bedarf</w:t>
      </w:r>
      <w:proofErr w:type="spellEnd"/>
      <w:r>
        <w:rPr>
          <w:rFonts w:cs="Arial"/>
          <w:color w:val="000000" w:themeColor="text1"/>
          <w:sz w:val="25"/>
          <w:szCs w:val="25"/>
        </w:rPr>
        <w:t xml:space="preserve"> einer Regelung</w:t>
      </w:r>
      <w:r>
        <w:rPr>
          <w:rFonts w:cs="Arial"/>
          <w:color w:val="000000" w:themeColor="text1"/>
          <w:sz w:val="25"/>
          <w:szCs w:val="25"/>
        </w:rPr>
        <w:t>, mit de</w:t>
      </w:r>
      <w:r>
        <w:rPr>
          <w:rFonts w:cs="Arial"/>
          <w:color w:val="000000" w:themeColor="text1"/>
          <w:sz w:val="25"/>
          <w:szCs w:val="25"/>
        </w:rPr>
        <w:t>r</w:t>
      </w:r>
      <w:r>
        <w:rPr>
          <w:rFonts w:cs="Arial"/>
          <w:color w:val="000000" w:themeColor="text1"/>
          <w:sz w:val="25"/>
          <w:szCs w:val="25"/>
        </w:rPr>
        <w:t xml:space="preserve"> die Fortzahlung bzw.</w:t>
      </w:r>
      <w:r>
        <w:rPr>
          <w:rFonts w:cs="Arial"/>
          <w:color w:val="000000" w:themeColor="text1"/>
          <w:sz w:val="25"/>
          <w:szCs w:val="25"/>
        </w:rPr>
        <w:t xml:space="preserve"> der Beginn des BAföG-Bezugs für Studierende im Falle von Lehr- und Prüfungsausfall oder Versäumnissen aufgrund von Schutzmaßnahmen nach dem IfSG rechtlich garantiert und dadurch entstandene Verzögerungen nicht auf die Förderungshöchstdauer angerechnet wer</w:t>
      </w:r>
      <w:r>
        <w:rPr>
          <w:rFonts w:cs="Arial"/>
          <w:color w:val="000000" w:themeColor="text1"/>
          <w:sz w:val="25"/>
          <w:szCs w:val="25"/>
        </w:rPr>
        <w:t xml:space="preserve">den. </w:t>
      </w:r>
    </w:p>
    <w:p w14:paraId="128EF74E" w14:textId="777C9D43" w:rsidR="00300BCC" w:rsidRDefault="009F5D7B">
      <w:pPr>
        <w:pStyle w:val="Standard1"/>
        <w:numPr>
          <w:ilvl w:val="0"/>
          <w:numId w:val="1"/>
        </w:numPr>
        <w:jc w:val="both"/>
        <w:rPr>
          <w:rFonts w:cs="Arial"/>
          <w:color w:val="000000" w:themeColor="text1"/>
          <w:sz w:val="25"/>
          <w:szCs w:val="25"/>
        </w:rPr>
      </w:pPr>
      <w:r>
        <w:rPr>
          <w:rFonts w:cs="Arial"/>
          <w:color w:val="000000" w:themeColor="text1"/>
          <w:sz w:val="25"/>
          <w:szCs w:val="25"/>
        </w:rPr>
        <w:t xml:space="preserve">der Bürgerschaft bis zum </w:t>
      </w:r>
      <w:r w:rsidR="005F0A84">
        <w:rPr>
          <w:rFonts w:cs="Arial"/>
          <w:color w:val="000000" w:themeColor="text1"/>
          <w:sz w:val="25"/>
          <w:szCs w:val="25"/>
        </w:rPr>
        <w:t>29</w:t>
      </w:r>
      <w:r>
        <w:rPr>
          <w:rFonts w:cs="Arial"/>
          <w:color w:val="000000" w:themeColor="text1"/>
          <w:sz w:val="25"/>
          <w:szCs w:val="25"/>
        </w:rPr>
        <w:t>.</w:t>
      </w:r>
      <w:r w:rsidR="005F0A84">
        <w:rPr>
          <w:rFonts w:cs="Arial"/>
          <w:color w:val="000000" w:themeColor="text1"/>
          <w:sz w:val="25"/>
          <w:szCs w:val="25"/>
        </w:rPr>
        <w:t>06</w:t>
      </w:r>
      <w:r>
        <w:rPr>
          <w:rFonts w:cs="Arial"/>
          <w:color w:val="000000" w:themeColor="text1"/>
          <w:sz w:val="25"/>
          <w:szCs w:val="25"/>
        </w:rPr>
        <w:t>.202</w:t>
      </w:r>
      <w:r w:rsidR="005F0A84">
        <w:rPr>
          <w:rFonts w:cs="Arial"/>
          <w:color w:val="000000" w:themeColor="text1"/>
          <w:sz w:val="25"/>
          <w:szCs w:val="25"/>
        </w:rPr>
        <w:t>2</w:t>
      </w:r>
      <w:r>
        <w:rPr>
          <w:rFonts w:cs="Arial"/>
          <w:color w:val="000000" w:themeColor="text1"/>
          <w:sz w:val="25"/>
          <w:szCs w:val="25"/>
        </w:rPr>
        <w:t xml:space="preserve"> zu berichten. </w:t>
      </w:r>
    </w:p>
    <w:sectPr w:rsidR="00300BCC">
      <w:headerReference w:type="default" r:id="rId8"/>
      <w:pgSz w:w="11906" w:h="16838"/>
      <w:pgMar w:top="1417" w:right="1417" w:bottom="1134" w:left="1417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14B3" w14:textId="77777777" w:rsidR="009F5D7B" w:rsidRDefault="009F5D7B">
      <w:r>
        <w:separator/>
      </w:r>
    </w:p>
  </w:endnote>
  <w:endnote w:type="continuationSeparator" w:id="0">
    <w:p w14:paraId="711C95FB" w14:textId="77777777" w:rsidR="009F5D7B" w:rsidRDefault="009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9B28" w14:textId="77777777" w:rsidR="009F5D7B" w:rsidRDefault="009F5D7B">
      <w:r>
        <w:separator/>
      </w:r>
    </w:p>
  </w:footnote>
  <w:footnote w:type="continuationSeparator" w:id="0">
    <w:p w14:paraId="1DC5F8D0" w14:textId="77777777" w:rsidR="009F5D7B" w:rsidRDefault="009F5D7B">
      <w:r>
        <w:continuationSeparator/>
      </w:r>
    </w:p>
  </w:footnote>
  <w:footnote w:id="1">
    <w:p w14:paraId="6EFB2309" w14:textId="273E831A" w:rsidR="00140807" w:rsidRDefault="001408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40807">
        <w:t>https://www.spiegel.de/panorama/bildung/wegen-corona-studierende-verschulden-sich-mit-fast-zwei-milliarden-euro-a-7a390c44-c8d6-4925-89e8-7b7f04982d81</w:t>
      </w:r>
    </w:p>
  </w:footnote>
  <w:footnote w:id="2">
    <w:p w14:paraId="306015B5" w14:textId="3A9C2632" w:rsidR="00B04E08" w:rsidRDefault="00B04E0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E108D7">
          <w:rPr>
            <w:rStyle w:val="Hyperlink"/>
          </w:rPr>
          <w:t>https://www.studierendenwerk-hamburg.de/fileadmin/user_upload/STW_Hamburg/__Downloads/Presse/Publikationen/Sozialerhebung/Sozialerhebung2016_fuerWeb_2018_06.pdf</w:t>
        </w:r>
      </w:hyperlink>
      <w:r>
        <w:t xml:space="preserve"> </w:t>
      </w:r>
    </w:p>
  </w:footnote>
  <w:footnote w:id="3">
    <w:p w14:paraId="6CB6BFFD" w14:textId="09B4B847" w:rsidR="00675B05" w:rsidRDefault="00675B0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i/>
          <w:color w:val="000000" w:themeColor="text1"/>
          <w:szCs w:val="22"/>
        </w:rPr>
        <w:t>siehe: https://de.statista.com/themen/379/bafoeg/</w:t>
      </w:r>
    </w:p>
  </w:footnote>
  <w:footnote w:id="4">
    <w:p w14:paraId="52B8109A" w14:textId="4AF591D3" w:rsidR="00675B05" w:rsidRDefault="00675B0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i/>
          <w:color w:val="000000" w:themeColor="text1"/>
          <w:szCs w:val="22"/>
        </w:rPr>
        <w:t>siehe:</w:t>
      </w:r>
      <w:r>
        <w:rPr>
          <w:rFonts w:cs="Arial"/>
          <w:i/>
          <w:color w:val="000000" w:themeColor="text1"/>
          <w:szCs w:val="22"/>
        </w:rPr>
        <w:t xml:space="preserve"> </w:t>
      </w:r>
      <w:r>
        <w:rPr>
          <w:rFonts w:cs="Arial"/>
          <w:i/>
          <w:color w:val="000000" w:themeColor="text1"/>
          <w:szCs w:val="22"/>
        </w:rPr>
        <w:t>https://www.destatis.de/DE/Themen/Gesellschaft-Umwelt/Bildung-Forschung-Kultur/Hochschulen/ Tabellen/lrbil01.htm</w:t>
      </w:r>
      <w:r w:rsidR="00D236F1">
        <w:rPr>
          <w:rFonts w:cs="Arial"/>
          <w:i/>
          <w:color w:val="000000" w:themeColor="text1"/>
          <w:szCs w:val="22"/>
        </w:rPr>
        <w:t xml:space="preserve">l </w:t>
      </w:r>
    </w:p>
  </w:footnote>
  <w:footnote w:id="5">
    <w:p w14:paraId="4F1E7AB0" w14:textId="29E52A4C" w:rsidR="00FD6B57" w:rsidRDefault="00FD6B5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D6B57">
        <w:rPr>
          <w:rFonts w:cs="Arial"/>
          <w:i/>
          <w:color w:val="000000" w:themeColor="text1"/>
          <w:szCs w:val="22"/>
        </w:rPr>
        <w:t>siehe S. 54f: http://www.sozialerhebung.de/download/21/Soz21_hauptbericht.pdf).</w:t>
      </w:r>
    </w:p>
  </w:footnote>
  <w:footnote w:id="6">
    <w:p w14:paraId="5543E103" w14:textId="123F27D5" w:rsidR="007C63AC" w:rsidRDefault="007C63A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C63AC">
        <w:t>https://www.bertelsmann-stiftung.de/de/publikationen/publikation/did/chancenspiegel-eine-zwischenbilanz-1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1C35" w14:textId="77777777" w:rsidR="00300BCC" w:rsidRDefault="009F5D7B">
    <w:pPr>
      <w:pStyle w:val="Kopfzeile"/>
      <w:rPr>
        <w:b/>
        <w:sz w:val="28"/>
      </w:rPr>
    </w:pPr>
    <w:r>
      <w:rPr>
        <w:b/>
        <w:sz w:val="28"/>
      </w:rPr>
      <w:t>BÜRGERSCHAFT</w:t>
    </w:r>
  </w:p>
  <w:p w14:paraId="6D33DB5E" w14:textId="77777777" w:rsidR="00300BCC" w:rsidRDefault="009F5D7B">
    <w:pPr>
      <w:pStyle w:val="Kopfzeile"/>
    </w: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       <w:sz w:val="24"/>
        <w:szCs w:val="24"/>
      </w:rPr>
      <w:t xml:space="preserve">Drucksache </w:t>
    </w:r>
    <w:r>
      <w:rPr>
        <w:b/>
        <w:sz w:val="28"/>
      </w:rPr>
      <w:t>22/</w:t>
    </w:r>
  </w:p>
  <w:p w14:paraId="7973953D" w14:textId="10D87360" w:rsidR="00300BCC" w:rsidRDefault="009F5D7B">
    <w:pPr>
      <w:pStyle w:val="Kopfzeile"/>
    </w:pPr>
    <w:r>
      <w:rPr>
        <w:b/>
        <w:sz w:val="24"/>
        <w:szCs w:val="24"/>
      </w:rPr>
      <w:t>22. Wahlperiode</w:t>
    </w:r>
    <w:r>
      <w:rPr>
        <w:b/>
      </w:rPr>
      <w:tab/>
    </w:r>
    <w:r>
      <w:rPr>
        <w:b/>
      </w:rPr>
      <w:tab/>
      <w:t>xx.xx</w:t>
    </w:r>
    <w:r>
      <w:rPr>
        <w:b/>
        <w:sz w:val="24"/>
        <w:szCs w:val="24"/>
      </w:rPr>
      <w:t>.202</w:t>
    </w:r>
    <w:r w:rsidR="007509E4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7C2"/>
    <w:multiLevelType w:val="multilevel"/>
    <w:tmpl w:val="B3181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E55152"/>
    <w:multiLevelType w:val="multilevel"/>
    <w:tmpl w:val="19DC8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CC"/>
    <w:rsid w:val="00140807"/>
    <w:rsid w:val="00205508"/>
    <w:rsid w:val="002C5B97"/>
    <w:rsid w:val="002D35F2"/>
    <w:rsid w:val="002E5F8C"/>
    <w:rsid w:val="00300BCC"/>
    <w:rsid w:val="0035524B"/>
    <w:rsid w:val="003A6349"/>
    <w:rsid w:val="003D6152"/>
    <w:rsid w:val="003F7EB4"/>
    <w:rsid w:val="00405BC3"/>
    <w:rsid w:val="00455F54"/>
    <w:rsid w:val="00464920"/>
    <w:rsid w:val="00521E6D"/>
    <w:rsid w:val="005425E1"/>
    <w:rsid w:val="00564D07"/>
    <w:rsid w:val="005F0A84"/>
    <w:rsid w:val="00675B05"/>
    <w:rsid w:val="006B67B7"/>
    <w:rsid w:val="006C6FD1"/>
    <w:rsid w:val="006D27A6"/>
    <w:rsid w:val="007509E4"/>
    <w:rsid w:val="007C554E"/>
    <w:rsid w:val="007C63AC"/>
    <w:rsid w:val="007F708F"/>
    <w:rsid w:val="00832284"/>
    <w:rsid w:val="00943B90"/>
    <w:rsid w:val="009F5D7B"/>
    <w:rsid w:val="00A93D26"/>
    <w:rsid w:val="00B04E08"/>
    <w:rsid w:val="00C14DC1"/>
    <w:rsid w:val="00C42B33"/>
    <w:rsid w:val="00CA6485"/>
    <w:rsid w:val="00CC09B9"/>
    <w:rsid w:val="00D1189A"/>
    <w:rsid w:val="00D236F1"/>
    <w:rsid w:val="00E63E25"/>
    <w:rsid w:val="00E74E25"/>
    <w:rsid w:val="00F63027"/>
    <w:rsid w:val="00F66576"/>
    <w:rsid w:val="00F70395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0CBA"/>
  <w15:docId w15:val="{EDB32DB2-2961-4BC9-8B9B-9131700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qFormat/>
    <w:rPr>
      <w:rFonts w:ascii="Arial" w:eastAsia="Arial" w:hAnsi="Arial" w:cs="Arial"/>
    </w:rPr>
  </w:style>
  <w:style w:type="character" w:customStyle="1" w:styleId="SprechblasentextZchn">
    <w:name w:val="Sprechblasentext Zchn"/>
    <w:basedOn w:val="Absatz-Standardschriftart"/>
    <w:qFormat/>
    <w:rPr>
      <w:rFonts w:ascii="Tahoma" w:eastAsia="Tahoma" w:hAnsi="Tahoma" w:cs="Tahoma"/>
      <w:sz w:val="16"/>
      <w:szCs w:val="16"/>
    </w:rPr>
  </w:style>
  <w:style w:type="character" w:customStyle="1" w:styleId="Betont">
    <w:name w:val="Betont"/>
    <w:qFormat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12B4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912B4E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12B4E"/>
    <w:rPr>
      <w:b/>
      <w:bCs/>
      <w:szCs w:val="20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760C50"/>
    <w:rPr>
      <w:color w:val="0563C1" w:themeColor="hyperlink"/>
      <w:u w:val="single"/>
    </w:rPr>
  </w:style>
  <w:style w:type="character" w:customStyle="1" w:styleId="Zeilennummerierung">
    <w:name w:val="Zeilennummerierung"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760C50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E463A5"/>
    <w:rPr>
      <w:color w:val="954F72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pPr>
      <w:widowControl w:val="0"/>
    </w:pPr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Verzeichnis">
    <w:name w:val="Verzeichnis"/>
    <w:basedOn w:val="Standard"/>
    <w:qFormat/>
    <w:pPr>
      <w:widowControl w:val="0"/>
      <w:suppressLineNumbers/>
    </w:pPr>
    <w:rPr>
      <w:rFonts w:cs="Lohit Devanagari"/>
    </w:rPr>
  </w:style>
  <w:style w:type="paragraph" w:customStyle="1" w:styleId="Standard1">
    <w:name w:val="Standard1"/>
    <w:qFormat/>
    <w:pPr>
      <w:spacing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body">
    <w:name w:val="Text body"/>
    <w:basedOn w:val="Standard1"/>
    <w:qFormat/>
    <w:pPr>
      <w:spacing w:after="140" w:line="276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1"/>
    <w:pPr>
      <w:tabs>
        <w:tab w:val="center" w:pos="4536"/>
        <w:tab w:val="right" w:pos="9072"/>
      </w:tabs>
      <w:spacing w:line="240" w:lineRule="auto"/>
    </w:pPr>
    <w:rPr>
      <w:rFonts w:eastAsia="Calibri" w:cs="DejaVu Sans"/>
      <w:sz w:val="22"/>
      <w:szCs w:val="22"/>
      <w:lang w:eastAsia="en-US"/>
    </w:rPr>
  </w:style>
  <w:style w:type="paragraph" w:styleId="Fuzeile">
    <w:name w:val="footer"/>
    <w:basedOn w:val="Standard1"/>
    <w:pPr>
      <w:tabs>
        <w:tab w:val="center" w:pos="4536"/>
        <w:tab w:val="right" w:pos="9072"/>
      </w:tabs>
      <w:spacing w:line="240" w:lineRule="auto"/>
    </w:pPr>
    <w:rPr>
      <w:rFonts w:eastAsia="Calibri" w:cs="DejaVu Sans"/>
      <w:sz w:val="22"/>
      <w:szCs w:val="22"/>
      <w:lang w:eastAsia="en-US"/>
    </w:rPr>
  </w:style>
  <w:style w:type="paragraph" w:styleId="Sprechblasentext">
    <w:name w:val="Balloon Text"/>
    <w:basedOn w:val="Standard1"/>
    <w:qFormat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912B4E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912B4E"/>
    <w:rPr>
      <w:b/>
      <w:bCs/>
    </w:rPr>
  </w:style>
  <w:style w:type="paragraph" w:styleId="berarbeitung">
    <w:name w:val="Revision"/>
    <w:uiPriority w:val="99"/>
    <w:semiHidden/>
    <w:qFormat/>
    <w:rsid w:val="00912B4E"/>
    <w:rPr>
      <w:sz w:val="24"/>
    </w:rPr>
  </w:style>
  <w:style w:type="numbering" w:customStyle="1" w:styleId="NoList1">
    <w:name w:val="No List_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675B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5B05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5B0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04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udierendenwerk-hamburg.de/fileadmin/user_upload/STW_Hamburg/__Downloads/Presse/Publikationen/Sozialerhebung/Sozialerhebung2016_fuerWeb_2018_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25B6-CA4E-4C55-B3C4-F627CBDD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Bürgerschaftskanzlei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Lena Tresse</cp:lastModifiedBy>
  <cp:revision>2</cp:revision>
  <cp:lastPrinted>2021-08-16T12:27:00Z</cp:lastPrinted>
  <dcterms:created xsi:type="dcterms:W3CDTF">2022-01-14T16:23:00Z</dcterms:created>
  <dcterms:modified xsi:type="dcterms:W3CDTF">2022-01-14T16:23:00Z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Address">
    <vt:lpwstr>Rathausmarkt 1</vt:lpwstr>
  </property>
  <property fmtid="{D5CDD505-2E9C-101B-9397-08002B2CF9AE}" pid="3" name="BKCity">
    <vt:lpwstr>20095 Hamburg</vt:lpwstr>
  </property>
  <property fmtid="{D5CDD505-2E9C-101B-9397-08002B2CF9AE}" pid="4" name="BKDepartment">
    <vt:lpwstr>Plenum</vt:lpwstr>
  </property>
  <property fmtid="{D5CDD505-2E9C-101B-9397-08002B2CF9AE}" pid="5" name="BKEmail">
    <vt:lpwstr>birgit.maybohm@bk.hamburg.de</vt:lpwstr>
  </property>
  <property fmtid="{D5CDD505-2E9C-101B-9397-08002B2CF9AE}" pid="6" name="BKFax">
    <vt:lpwstr>+49 40 427 31-2296</vt:lpwstr>
  </property>
  <property fmtid="{D5CDD505-2E9C-101B-9397-08002B2CF9AE}" pid="7" name="BKName">
    <vt:lpwstr>Birgit Maybohm</vt:lpwstr>
  </property>
  <property fmtid="{D5CDD505-2E9C-101B-9397-08002B2CF9AE}" pid="8" name="BKPhone">
    <vt:lpwstr>+49 40 428 31-1370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